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4A562BF"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83345D">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83345D">
        <w:t>R4-19</w:t>
      </w:r>
      <w:r w:rsidR="007D4520">
        <w:t>11641</w:t>
      </w:r>
    </w:p>
    <w:p w14:paraId="35BF833C" w14:textId="756B62E2" w:rsidR="00DF018A" w:rsidRPr="008E18F2" w:rsidRDefault="0083345D"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t>China</w:t>
      </w:r>
      <w:r w:rsidR="00AD15D4">
        <w:t xml:space="preserve">, </w:t>
      </w:r>
      <w:r>
        <w:rPr>
          <w:rFonts w:cs="Arial"/>
        </w:rPr>
        <w:t>14</w:t>
      </w:r>
      <w:r w:rsidR="00DF018A" w:rsidRPr="00084769">
        <w:rPr>
          <w:rFonts w:cs="Arial"/>
        </w:rPr>
        <w:t xml:space="preserve"> – </w:t>
      </w:r>
      <w:r>
        <w:rPr>
          <w:rFonts w:cs="Arial"/>
        </w:rPr>
        <w:t>18</w:t>
      </w:r>
      <w:r w:rsidR="00DF018A">
        <w:rPr>
          <w:rFonts w:cs="Arial"/>
        </w:rPr>
        <w:t xml:space="preserve"> </w:t>
      </w:r>
      <w:r>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1575DBC"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44363">
        <w:rPr>
          <w:sz w:val="22"/>
        </w:rPr>
        <w:t xml:space="preserve">On </w:t>
      </w:r>
      <w:bookmarkStart w:id="2" w:name="_GoBack"/>
      <w:bookmarkEnd w:id="2"/>
      <w:r w:rsidR="003174F7">
        <w:rPr>
          <w:sz w:val="22"/>
        </w:rPr>
        <w:t>IAB-Node</w:t>
      </w:r>
      <w:r w:rsidR="005348D8">
        <w:rPr>
          <w:sz w:val="22"/>
        </w:rPr>
        <w:t xml:space="preserve"> specifications</w:t>
      </w:r>
    </w:p>
    <w:p w14:paraId="38BCE621" w14:textId="003D63BE"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7D4520" w:rsidRPr="007D4520">
        <w:rPr>
          <w:sz w:val="22"/>
        </w:rPr>
        <w:t>8</w:t>
      </w:r>
      <w:r w:rsidR="001B3B3F" w:rsidRPr="007D4520">
        <w:rPr>
          <w:sz w:val="22"/>
        </w:rPr>
        <w:t>.5.3</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78E66C56" w:rsidR="00CF249F" w:rsidRDefault="00E075EC" w:rsidP="000B5E8E">
      <w:r>
        <w:t>In this contribution the principle</w:t>
      </w:r>
      <w:r w:rsidR="005348D8">
        <w:t>s</w:t>
      </w:r>
      <w:r>
        <w:t xml:space="preserve"> of </w:t>
      </w:r>
      <w:r w:rsidR="005348D8">
        <w:t>IAB-Node requirements especially when it comes to relationship of IAB-MT, IAB-DU and therefore access and backhaul link are</w:t>
      </w:r>
      <w:r>
        <w:t xml:space="preserve"> discussed.</w:t>
      </w:r>
    </w:p>
    <w:p w14:paraId="1ECA57B6" w14:textId="77777777" w:rsidR="001C3296" w:rsidRDefault="001C3296" w:rsidP="001C3296">
      <w:pPr>
        <w:pStyle w:val="Heading1"/>
      </w:pPr>
      <w:r>
        <w:t>2</w:t>
      </w:r>
      <w:r>
        <w:tab/>
        <w:t>Discussion</w:t>
      </w:r>
    </w:p>
    <w:p w14:paraId="63413584" w14:textId="0F58E884" w:rsidR="005348D8" w:rsidRDefault="00A33499" w:rsidP="00D56480">
      <w:r>
        <w:t>In RAN4#92 it was agreed in IAB Ad Hoc meeting minutes [1] that IAB-Node specifications shall be defined in architecture agnostic way for backhaul and access function. This means in practice that the requirements are defined in a generic manner and they shall not be specific depending on which exact RF architecture implementation is used in an IAB-Node. Part of the agreement is that backhaul and access functions within IAB-Node will have their own requirements</w:t>
      </w:r>
      <w:r w:rsidR="002E0E8E">
        <w:t xml:space="preserve">. </w:t>
      </w:r>
    </w:p>
    <w:p w14:paraId="60DCB770" w14:textId="06B5E167" w:rsidR="002E0E8E" w:rsidRDefault="002E0E8E" w:rsidP="00D56480">
      <w:r>
        <w:t>To define the requirements, it is essential to understand how access and backhaul requirements map to IAB-MT and IAB-DU and physical signals/channels. This is summarized below.</w:t>
      </w:r>
    </w:p>
    <w:p w14:paraId="11311A61" w14:textId="77777777" w:rsidR="002E0E8E" w:rsidRDefault="002E0E8E" w:rsidP="002E0E8E">
      <w:r>
        <w:t>IAB-DU</w:t>
      </w:r>
    </w:p>
    <w:p w14:paraId="1E4E1453" w14:textId="4940400D" w:rsidR="002E0E8E" w:rsidRDefault="002E0E8E" w:rsidP="002E0E8E">
      <w:pPr>
        <w:pStyle w:val="ListParagraph"/>
        <w:numPr>
          <w:ilvl w:val="0"/>
          <w:numId w:val="14"/>
        </w:numPr>
      </w:pPr>
      <w:r>
        <w:t xml:space="preserve">May transmit/receive in </w:t>
      </w:r>
      <w:r w:rsidR="00412C77">
        <w:t xml:space="preserve">child </w:t>
      </w:r>
      <w:r>
        <w:t>backhaul or access link</w:t>
      </w:r>
    </w:p>
    <w:p w14:paraId="33BD2577" w14:textId="77777777" w:rsidR="002E0E8E" w:rsidRDefault="002E0E8E" w:rsidP="002E0E8E">
      <w:pPr>
        <w:pStyle w:val="ListParagraph"/>
        <w:numPr>
          <w:ilvl w:val="0"/>
          <w:numId w:val="14"/>
        </w:numPr>
      </w:pPr>
      <w:r>
        <w:t>Transmits downlink signals/channels (e.g. PDSCH)</w:t>
      </w:r>
    </w:p>
    <w:p w14:paraId="411FC67A" w14:textId="3E99F79D" w:rsidR="002E0E8E" w:rsidRDefault="002E0E8E" w:rsidP="002E0E8E">
      <w:pPr>
        <w:pStyle w:val="ListParagraph"/>
        <w:numPr>
          <w:ilvl w:val="0"/>
          <w:numId w:val="14"/>
        </w:numPr>
      </w:pPr>
      <w:r>
        <w:t>Receives uplink signals/channels (e.g. PUSCH)</w:t>
      </w:r>
    </w:p>
    <w:p w14:paraId="023BFA67" w14:textId="6D154CF9" w:rsidR="002E0E8E" w:rsidRDefault="002E0E8E" w:rsidP="002E0E8E">
      <w:r>
        <w:t xml:space="preserve">IAB-MT </w:t>
      </w:r>
    </w:p>
    <w:p w14:paraId="7E2FFFAC" w14:textId="28B82682" w:rsidR="002E0E8E" w:rsidRDefault="002E0E8E" w:rsidP="002E0E8E">
      <w:pPr>
        <w:pStyle w:val="ListParagraph"/>
        <w:numPr>
          <w:ilvl w:val="0"/>
          <w:numId w:val="14"/>
        </w:numPr>
      </w:pPr>
      <w:r>
        <w:t>May transmit/receive only in</w:t>
      </w:r>
      <w:r w:rsidR="00412C77">
        <w:t xml:space="preserve"> parent</w:t>
      </w:r>
      <w:r>
        <w:t xml:space="preserve"> backhaul link</w:t>
      </w:r>
    </w:p>
    <w:p w14:paraId="326AFB68" w14:textId="6DDBE121" w:rsidR="002E0E8E" w:rsidRDefault="002E0E8E" w:rsidP="002E0E8E">
      <w:pPr>
        <w:pStyle w:val="ListParagraph"/>
        <w:numPr>
          <w:ilvl w:val="0"/>
          <w:numId w:val="14"/>
        </w:numPr>
      </w:pPr>
      <w:r>
        <w:t>Transmits uplink signals/channels (e.g. PUSCH)</w:t>
      </w:r>
    </w:p>
    <w:p w14:paraId="0CCAA4A4" w14:textId="3A921132" w:rsidR="002E0E8E" w:rsidRDefault="002E0E8E" w:rsidP="002E0E8E">
      <w:pPr>
        <w:pStyle w:val="ListParagraph"/>
        <w:numPr>
          <w:ilvl w:val="0"/>
          <w:numId w:val="14"/>
        </w:numPr>
      </w:pPr>
      <w:r>
        <w:t>Receives downlink signals/channels (e.g. PDSCH)</w:t>
      </w:r>
    </w:p>
    <w:p w14:paraId="59AF884B" w14:textId="0A94221E" w:rsidR="005348D8" w:rsidRDefault="00F01C83" w:rsidP="00D56480">
      <w:r>
        <w:t>As seen above, categorizing the requirements for backhaul and access may not be straightforward, as then there would be two sets of requirements for IAB-DU function.</w:t>
      </w:r>
    </w:p>
    <w:p w14:paraId="09E72282" w14:textId="010B6D3A" w:rsidR="00F01C83" w:rsidRDefault="00F01C83" w:rsidP="00D56480">
      <w:pPr>
        <w:rPr>
          <w:b/>
        </w:rPr>
      </w:pPr>
      <w:r>
        <w:rPr>
          <w:b/>
        </w:rPr>
        <w:t>Proposal</w:t>
      </w:r>
      <w:r w:rsidRPr="00F01C83">
        <w:rPr>
          <w:b/>
        </w:rPr>
        <w:t xml:space="preserve"> 1:</w:t>
      </w:r>
      <w:r>
        <w:rPr>
          <w:b/>
        </w:rPr>
        <w:t xml:space="preserve"> Requirements shall be categorized using IAB-DU and IAB-MT functions</w:t>
      </w:r>
      <w:r w:rsidR="00A04721">
        <w:rPr>
          <w:b/>
        </w:rPr>
        <w:t>, when needed</w:t>
      </w:r>
      <w:r>
        <w:rPr>
          <w:b/>
        </w:rPr>
        <w:t>.</w:t>
      </w:r>
    </w:p>
    <w:p w14:paraId="65F178F9" w14:textId="485097AB" w:rsidR="00F01C83" w:rsidRDefault="00F01C83" w:rsidP="00D56480">
      <w:r w:rsidRPr="00F01C83">
        <w:t>Naturally</w:t>
      </w:r>
      <w:r>
        <w:t>, RAN1 agreements for the physical layer need to be followed in RAN4 specifications</w:t>
      </w:r>
      <w:r w:rsidR="00122D8C">
        <w:t xml:space="preserve">, </w:t>
      </w:r>
      <w:r w:rsidR="00E71458">
        <w:t xml:space="preserve">meaning that e.g. IAB-MT Tx </w:t>
      </w:r>
      <w:r w:rsidR="00BC3919">
        <w:t xml:space="preserve">requirements should base on </w:t>
      </w:r>
      <w:r w:rsidR="00E71458">
        <w:t>UL</w:t>
      </w:r>
      <w:r w:rsidR="00122D8C">
        <w:t xml:space="preserve"> signals/channels </w:t>
      </w:r>
      <w:r w:rsidR="00E71458">
        <w:t>being</w:t>
      </w:r>
      <w:r w:rsidR="00122D8C">
        <w:t xml:space="preserve"> used</w:t>
      </w:r>
      <w:r>
        <w:t>.</w:t>
      </w:r>
      <w:r w:rsidR="00122D8C">
        <w:t xml:space="preserve"> The details </w:t>
      </w:r>
      <w:r w:rsidR="00E71458">
        <w:t xml:space="preserve">of signals </w:t>
      </w:r>
      <w:r w:rsidR="00122D8C">
        <w:t xml:space="preserve">can be discussed as part of </w:t>
      </w:r>
      <w:r w:rsidR="00E71458">
        <w:t>d</w:t>
      </w:r>
      <w:r w:rsidR="00122D8C">
        <w:t>efining conformance tests.</w:t>
      </w:r>
    </w:p>
    <w:p w14:paraId="61DCFE29" w14:textId="0848B179" w:rsidR="00E71458" w:rsidRDefault="00E71458" w:rsidP="00E71458">
      <w:pPr>
        <w:spacing w:after="0"/>
        <w:contextualSpacing/>
        <w:rPr>
          <w:b/>
        </w:rPr>
      </w:pPr>
      <w:r w:rsidRPr="00E71458">
        <w:rPr>
          <w:b/>
        </w:rPr>
        <w:t>Proposal 2:</w:t>
      </w:r>
      <w:r>
        <w:rPr>
          <w:b/>
        </w:rPr>
        <w:t xml:space="preserve"> Requirements shall be based on correct signal types:</w:t>
      </w:r>
    </w:p>
    <w:p w14:paraId="342FC701" w14:textId="31715692" w:rsidR="00E71458" w:rsidRDefault="00E71458" w:rsidP="00E71458">
      <w:pPr>
        <w:pStyle w:val="ListParagraph"/>
        <w:numPr>
          <w:ilvl w:val="0"/>
          <w:numId w:val="14"/>
        </w:numPr>
        <w:spacing w:after="0"/>
        <w:rPr>
          <w:b/>
        </w:rPr>
      </w:pPr>
      <w:r w:rsidRPr="00E71458">
        <w:rPr>
          <w:b/>
        </w:rPr>
        <w:t>UL signals for IAB-MT Tx</w:t>
      </w:r>
      <w:r>
        <w:rPr>
          <w:b/>
        </w:rPr>
        <w:t xml:space="preserve"> and IAB-DU Rx</w:t>
      </w:r>
      <w:r w:rsidRPr="00E71458">
        <w:rPr>
          <w:b/>
        </w:rPr>
        <w:t xml:space="preserve"> </w:t>
      </w:r>
    </w:p>
    <w:p w14:paraId="6C100544" w14:textId="2E69F4A2" w:rsidR="00E71458" w:rsidRDefault="00E71458" w:rsidP="00E71458">
      <w:pPr>
        <w:pStyle w:val="ListParagraph"/>
        <w:numPr>
          <w:ilvl w:val="0"/>
          <w:numId w:val="14"/>
        </w:numPr>
        <w:spacing w:before="180" w:after="0"/>
        <w:rPr>
          <w:b/>
        </w:rPr>
      </w:pPr>
      <w:r>
        <w:rPr>
          <w:b/>
        </w:rPr>
        <w:t xml:space="preserve">DL signals for </w:t>
      </w:r>
      <w:r w:rsidRPr="00E71458">
        <w:rPr>
          <w:b/>
        </w:rPr>
        <w:t xml:space="preserve">IAB-MT </w:t>
      </w:r>
      <w:r>
        <w:rPr>
          <w:b/>
        </w:rPr>
        <w:t>R</w:t>
      </w:r>
      <w:r w:rsidRPr="00E71458">
        <w:rPr>
          <w:b/>
        </w:rPr>
        <w:t xml:space="preserve">x </w:t>
      </w:r>
      <w:r>
        <w:rPr>
          <w:b/>
        </w:rPr>
        <w:t>and IAB-DU Tx</w:t>
      </w:r>
      <w:r w:rsidR="00A04721">
        <w:rPr>
          <w:b/>
        </w:rPr>
        <w:t xml:space="preserve"> </w:t>
      </w:r>
    </w:p>
    <w:p w14:paraId="338F8F77" w14:textId="33946C4F" w:rsidR="00E71458" w:rsidRPr="00E71458" w:rsidRDefault="00E71458" w:rsidP="00E71458">
      <w:pPr>
        <w:spacing w:after="0"/>
        <w:rPr>
          <w:b/>
        </w:rPr>
      </w:pPr>
      <w:r>
        <w:rPr>
          <w:b/>
        </w:rPr>
        <w:t>Details of these shall be left to conformance testing phase</w:t>
      </w:r>
    </w:p>
    <w:p w14:paraId="74DC968B" w14:textId="50BBA8FF" w:rsidR="004036F8" w:rsidRDefault="00E71458" w:rsidP="00E71458">
      <w:pPr>
        <w:spacing w:before="180"/>
      </w:pPr>
      <w:r>
        <w:t xml:space="preserve">When it comes to structuring the specification, </w:t>
      </w:r>
      <w:r w:rsidR="004036F8">
        <w:t>there are multiple options. The requirements for IAB-DU and IAB-MT could be completely separated from each other, so that they have only separate sections in the specification. However, there may be cases where the requirement is the same for both. For example, it seems logical that the EVM limits would be the same, even though one is for uplink and the other for downlink signal. It seems unnecessary to generate complete different sections for this kind of cases.</w:t>
      </w:r>
    </w:p>
    <w:p w14:paraId="4A4F1D6C" w14:textId="3B3B9E68" w:rsidR="004036F8" w:rsidRDefault="004036F8" w:rsidP="00E71458">
      <w:pPr>
        <w:spacing w:before="180"/>
      </w:pPr>
      <w:r>
        <w:t>In addition, it is expected that many of the requirements can be handled by directly referencing other specifications. It may be unnecessary t</w:t>
      </w:r>
      <w:r w:rsidR="00DC4D84">
        <w:t>o</w:t>
      </w:r>
      <w:r>
        <w:t xml:space="preserve"> have different sections for IAB-DU and IAB-MT in case the section would only contain a </w:t>
      </w:r>
      <w:r>
        <w:lastRenderedPageBreak/>
        <w:t>reference to a different document</w:t>
      </w:r>
      <w:r w:rsidR="00DC4D84">
        <w:t>, as this mainly just increases the number of sub-sections without bringing any additional value</w:t>
      </w:r>
      <w:r>
        <w:t>.</w:t>
      </w:r>
    </w:p>
    <w:p w14:paraId="48073560" w14:textId="7A0A3693" w:rsidR="00E71458" w:rsidRPr="00F01C83" w:rsidRDefault="004036F8" w:rsidP="00E71458">
      <w:pPr>
        <w:spacing w:before="180"/>
      </w:pPr>
      <w:r>
        <w:t xml:space="preserve">Overall, </w:t>
      </w:r>
      <w:r w:rsidR="00E71458">
        <w:t xml:space="preserve">unnecessary repetition should of course be avoided. Therefore, whenever there are common aspects for IAB-DU and IAB-MT those can be </w:t>
      </w:r>
      <w:r w:rsidR="00A04721">
        <w:t>placed in a common section in the beginning of each requirement before the IAB-DU and IAB-MT specific sections. If there is no difference between IAB-DU and IAB-MT requirements, they do not need specific sections or other separation in the specification. One option is to refer to IAB-Node requirements in those cases.</w:t>
      </w:r>
    </w:p>
    <w:p w14:paraId="2A06F1CF" w14:textId="31DAA4EC" w:rsidR="00F01C83" w:rsidRDefault="00A04721" w:rsidP="00D56480">
      <w:pPr>
        <w:rPr>
          <w:b/>
        </w:rPr>
      </w:pPr>
      <w:r>
        <w:rPr>
          <w:b/>
        </w:rPr>
        <w:t>Proposal 3: Structure the requirements in the specification starting with general section for common aspects for IAB-MT and IAB-DU. No specific sections are needed in case the requirement is the same for IAB-MT and IAB-DU.</w:t>
      </w:r>
    </w:p>
    <w:p w14:paraId="4B194FAB" w14:textId="37B8ACB7" w:rsidR="009173C5" w:rsidRDefault="009173C5" w:rsidP="00D56480">
      <w:r>
        <w:t>While many requirements could be re-used and/or referenced from current base station and UE requirements, a requirement-by-requirement analysis and decision is needed to do so. As more work is needed for the cases where new or modified requirements are needed, it is important to identify those requirements so that the work can be done in a timely manner. To facilitate this work, the relevant sections from 38.104 and 38.101-1 and -2 have been gathered in table 1 and table 2 below. Requirements where new or modified requirements are needed have been highlighted in red. It should be noted that this is not a comprehensive analysis and therefore other requirements may be added to these still.</w:t>
      </w:r>
    </w:p>
    <w:p w14:paraId="2BF5CE4F" w14:textId="5A291334" w:rsidR="00A04721" w:rsidRPr="009173C5" w:rsidRDefault="009173C5" w:rsidP="009173C5">
      <w:pPr>
        <w:jc w:val="center"/>
        <w:rPr>
          <w:b/>
        </w:rPr>
      </w:pPr>
      <w:r w:rsidRPr="009173C5">
        <w:rPr>
          <w:b/>
        </w:rPr>
        <w:t>Table 1: Requirements from 38.104, considered for re-use for IAB-DU</w:t>
      </w:r>
    </w:p>
    <w:tbl>
      <w:tblPr>
        <w:tblW w:w="6860" w:type="dxa"/>
        <w:jc w:val="center"/>
        <w:tblCellMar>
          <w:left w:w="70" w:type="dxa"/>
          <w:right w:w="70" w:type="dxa"/>
        </w:tblCellMar>
        <w:tblLook w:val="04A0" w:firstRow="1" w:lastRow="0" w:firstColumn="1" w:lastColumn="0" w:noHBand="0" w:noVBand="1"/>
      </w:tblPr>
      <w:tblGrid>
        <w:gridCol w:w="3880"/>
        <w:gridCol w:w="1060"/>
        <w:gridCol w:w="960"/>
        <w:gridCol w:w="960"/>
      </w:tblGrid>
      <w:tr w:rsidR="009173C5" w:rsidRPr="009173C5" w14:paraId="6CFBF222" w14:textId="77777777" w:rsidTr="009173C5">
        <w:trPr>
          <w:trHeight w:val="315"/>
          <w:jc w:val="center"/>
        </w:trPr>
        <w:tc>
          <w:tcPr>
            <w:tcW w:w="686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4FDDC7" w14:textId="77777777" w:rsidR="009173C5" w:rsidRPr="009173C5" w:rsidRDefault="009173C5" w:rsidP="009173C5">
            <w:pPr>
              <w:overflowPunct/>
              <w:autoSpaceDE/>
              <w:autoSpaceDN/>
              <w:adjustRightInd/>
              <w:spacing w:after="0"/>
              <w:jc w:val="center"/>
              <w:textAlignment w:val="auto"/>
              <w:rPr>
                <w:rFonts w:ascii="Arial" w:hAnsi="Arial" w:cs="Arial"/>
                <w:b/>
                <w:bCs/>
                <w:color w:val="000000"/>
                <w:sz w:val="16"/>
                <w:lang w:val="fi-FI" w:eastAsia="fi-FI"/>
              </w:rPr>
            </w:pPr>
            <w:r w:rsidRPr="009173C5">
              <w:rPr>
                <w:rFonts w:ascii="Arial" w:hAnsi="Arial" w:cs="Arial"/>
                <w:b/>
                <w:bCs/>
                <w:color w:val="000000"/>
                <w:sz w:val="16"/>
                <w:lang w:eastAsia="fi-FI"/>
              </w:rPr>
              <w:t>BS Specification</w:t>
            </w:r>
          </w:p>
        </w:tc>
      </w:tr>
      <w:tr w:rsidR="009173C5" w:rsidRPr="009173C5" w14:paraId="6DBACCE4" w14:textId="77777777" w:rsidTr="009173C5">
        <w:trPr>
          <w:trHeight w:val="315"/>
          <w:jc w:val="center"/>
        </w:trPr>
        <w:tc>
          <w:tcPr>
            <w:tcW w:w="3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884F033" w14:textId="77777777" w:rsidR="009173C5" w:rsidRPr="009173C5" w:rsidRDefault="009173C5" w:rsidP="009173C5">
            <w:pPr>
              <w:overflowPunct/>
              <w:autoSpaceDE/>
              <w:autoSpaceDN/>
              <w:adjustRightInd/>
              <w:spacing w:after="0"/>
              <w:jc w:val="center"/>
              <w:textAlignment w:val="auto"/>
              <w:rPr>
                <w:rFonts w:ascii="Arial" w:hAnsi="Arial" w:cs="Arial"/>
                <w:b/>
                <w:bCs/>
                <w:color w:val="000000"/>
                <w:sz w:val="16"/>
                <w:szCs w:val="18"/>
                <w:lang w:val="fi-FI" w:eastAsia="fi-FI"/>
              </w:rPr>
            </w:pPr>
            <w:r w:rsidRPr="009173C5">
              <w:rPr>
                <w:rFonts w:ascii="Arial" w:hAnsi="Arial" w:cs="Arial"/>
                <w:b/>
                <w:bCs/>
                <w:color w:val="000000"/>
                <w:sz w:val="16"/>
                <w:szCs w:val="18"/>
                <w:lang w:eastAsia="ja-JP"/>
              </w:rPr>
              <w:t>Requirement</w:t>
            </w:r>
          </w:p>
        </w:tc>
        <w:tc>
          <w:tcPr>
            <w:tcW w:w="2980" w:type="dxa"/>
            <w:gridSpan w:val="3"/>
            <w:tcBorders>
              <w:top w:val="single" w:sz="8" w:space="0" w:color="auto"/>
              <w:left w:val="nil"/>
              <w:bottom w:val="single" w:sz="8" w:space="0" w:color="auto"/>
              <w:right w:val="single" w:sz="8" w:space="0" w:color="000000"/>
            </w:tcBorders>
            <w:shd w:val="clear" w:color="auto" w:fill="auto"/>
            <w:vAlign w:val="center"/>
            <w:hideMark/>
          </w:tcPr>
          <w:p w14:paraId="3EFF9318" w14:textId="77777777" w:rsidR="009173C5" w:rsidRPr="009173C5" w:rsidRDefault="009173C5" w:rsidP="009173C5">
            <w:pPr>
              <w:overflowPunct/>
              <w:autoSpaceDE/>
              <w:autoSpaceDN/>
              <w:adjustRightInd/>
              <w:spacing w:after="0"/>
              <w:jc w:val="center"/>
              <w:textAlignment w:val="auto"/>
              <w:rPr>
                <w:rFonts w:ascii="Arial" w:hAnsi="Arial" w:cs="Arial"/>
                <w:b/>
                <w:bCs/>
                <w:color w:val="000000"/>
                <w:sz w:val="16"/>
                <w:szCs w:val="18"/>
                <w:lang w:val="fi-FI" w:eastAsia="fi-FI"/>
              </w:rPr>
            </w:pPr>
            <w:r w:rsidRPr="009173C5">
              <w:rPr>
                <w:rFonts w:ascii="Arial" w:hAnsi="Arial" w:cs="Arial"/>
                <w:b/>
                <w:bCs/>
                <w:color w:val="000000"/>
                <w:sz w:val="16"/>
                <w:szCs w:val="18"/>
                <w:lang w:eastAsia="ja-JP"/>
              </w:rPr>
              <w:t>Requirement set</w:t>
            </w:r>
          </w:p>
        </w:tc>
      </w:tr>
      <w:tr w:rsidR="009173C5" w:rsidRPr="009173C5" w14:paraId="11188769" w14:textId="77777777" w:rsidTr="009173C5">
        <w:trPr>
          <w:trHeight w:val="495"/>
          <w:jc w:val="center"/>
        </w:trPr>
        <w:tc>
          <w:tcPr>
            <w:tcW w:w="3880" w:type="dxa"/>
            <w:vMerge/>
            <w:tcBorders>
              <w:top w:val="nil"/>
              <w:left w:val="single" w:sz="8" w:space="0" w:color="auto"/>
              <w:bottom w:val="single" w:sz="8" w:space="0" w:color="000000"/>
              <w:right w:val="single" w:sz="8" w:space="0" w:color="auto"/>
            </w:tcBorders>
            <w:vAlign w:val="center"/>
            <w:hideMark/>
          </w:tcPr>
          <w:p w14:paraId="32534A7A" w14:textId="77777777" w:rsidR="009173C5" w:rsidRPr="009173C5" w:rsidRDefault="009173C5" w:rsidP="009173C5">
            <w:pPr>
              <w:overflowPunct/>
              <w:autoSpaceDE/>
              <w:autoSpaceDN/>
              <w:adjustRightInd/>
              <w:spacing w:after="0"/>
              <w:textAlignment w:val="auto"/>
              <w:rPr>
                <w:rFonts w:ascii="Arial" w:hAnsi="Arial" w:cs="Arial"/>
                <w:b/>
                <w:bCs/>
                <w:color w:val="000000"/>
                <w:sz w:val="16"/>
                <w:szCs w:val="18"/>
                <w:lang w:val="fi-FI" w:eastAsia="fi-FI"/>
              </w:rPr>
            </w:pPr>
          </w:p>
        </w:tc>
        <w:tc>
          <w:tcPr>
            <w:tcW w:w="1060" w:type="dxa"/>
            <w:tcBorders>
              <w:top w:val="nil"/>
              <w:left w:val="nil"/>
              <w:bottom w:val="single" w:sz="8" w:space="0" w:color="auto"/>
              <w:right w:val="single" w:sz="8" w:space="0" w:color="auto"/>
            </w:tcBorders>
            <w:shd w:val="clear" w:color="auto" w:fill="auto"/>
            <w:vAlign w:val="center"/>
            <w:hideMark/>
          </w:tcPr>
          <w:p w14:paraId="405D09B4" w14:textId="77777777" w:rsidR="009173C5" w:rsidRPr="009173C5" w:rsidRDefault="009173C5" w:rsidP="009173C5">
            <w:pPr>
              <w:overflowPunct/>
              <w:autoSpaceDE/>
              <w:autoSpaceDN/>
              <w:adjustRightInd/>
              <w:spacing w:after="0"/>
              <w:jc w:val="center"/>
              <w:textAlignment w:val="auto"/>
              <w:rPr>
                <w:rFonts w:ascii="Arial" w:hAnsi="Arial" w:cs="Arial"/>
                <w:b/>
                <w:bCs/>
                <w:i/>
                <w:iCs/>
                <w:color w:val="000000"/>
                <w:sz w:val="16"/>
                <w:szCs w:val="18"/>
                <w:lang w:val="fi-FI" w:eastAsia="fi-FI"/>
              </w:rPr>
            </w:pPr>
            <w:r w:rsidRPr="009173C5">
              <w:rPr>
                <w:rFonts w:ascii="Arial" w:hAnsi="Arial" w:cs="Arial"/>
                <w:b/>
                <w:bCs/>
                <w:i/>
                <w:iCs/>
                <w:color w:val="000000"/>
                <w:sz w:val="16"/>
                <w:szCs w:val="18"/>
                <w:lang w:eastAsia="ja-JP"/>
              </w:rPr>
              <w:t>BS type 1-H</w:t>
            </w:r>
          </w:p>
        </w:tc>
        <w:tc>
          <w:tcPr>
            <w:tcW w:w="960" w:type="dxa"/>
            <w:tcBorders>
              <w:top w:val="nil"/>
              <w:left w:val="nil"/>
              <w:bottom w:val="single" w:sz="8" w:space="0" w:color="auto"/>
              <w:right w:val="single" w:sz="8" w:space="0" w:color="auto"/>
            </w:tcBorders>
            <w:shd w:val="clear" w:color="auto" w:fill="auto"/>
            <w:vAlign w:val="center"/>
            <w:hideMark/>
          </w:tcPr>
          <w:p w14:paraId="4C4A20FF" w14:textId="77777777" w:rsidR="009173C5" w:rsidRPr="009173C5" w:rsidRDefault="009173C5" w:rsidP="009173C5">
            <w:pPr>
              <w:overflowPunct/>
              <w:autoSpaceDE/>
              <w:autoSpaceDN/>
              <w:adjustRightInd/>
              <w:spacing w:after="0"/>
              <w:jc w:val="center"/>
              <w:textAlignment w:val="auto"/>
              <w:rPr>
                <w:rFonts w:ascii="Arial" w:hAnsi="Arial" w:cs="Arial"/>
                <w:b/>
                <w:bCs/>
                <w:i/>
                <w:iCs/>
                <w:color w:val="000000"/>
                <w:sz w:val="16"/>
                <w:szCs w:val="18"/>
                <w:lang w:val="fi-FI" w:eastAsia="fi-FI"/>
              </w:rPr>
            </w:pPr>
            <w:r w:rsidRPr="009173C5">
              <w:rPr>
                <w:rFonts w:ascii="Arial" w:hAnsi="Arial" w:cs="Arial"/>
                <w:b/>
                <w:bCs/>
                <w:i/>
                <w:iCs/>
                <w:color w:val="000000"/>
                <w:sz w:val="16"/>
                <w:szCs w:val="18"/>
                <w:lang w:eastAsia="ja-JP"/>
              </w:rPr>
              <w:t>BS type 1-O</w:t>
            </w:r>
          </w:p>
        </w:tc>
        <w:tc>
          <w:tcPr>
            <w:tcW w:w="960" w:type="dxa"/>
            <w:tcBorders>
              <w:top w:val="nil"/>
              <w:left w:val="nil"/>
              <w:bottom w:val="single" w:sz="8" w:space="0" w:color="auto"/>
              <w:right w:val="single" w:sz="8" w:space="0" w:color="auto"/>
            </w:tcBorders>
            <w:shd w:val="clear" w:color="auto" w:fill="auto"/>
            <w:vAlign w:val="center"/>
            <w:hideMark/>
          </w:tcPr>
          <w:p w14:paraId="52E0B1F9" w14:textId="77777777" w:rsidR="009173C5" w:rsidRPr="009173C5" w:rsidRDefault="009173C5" w:rsidP="009173C5">
            <w:pPr>
              <w:overflowPunct/>
              <w:autoSpaceDE/>
              <w:autoSpaceDN/>
              <w:adjustRightInd/>
              <w:spacing w:after="0"/>
              <w:jc w:val="center"/>
              <w:textAlignment w:val="auto"/>
              <w:rPr>
                <w:rFonts w:ascii="Arial" w:hAnsi="Arial" w:cs="Arial"/>
                <w:b/>
                <w:bCs/>
                <w:i/>
                <w:iCs/>
                <w:color w:val="000000"/>
                <w:sz w:val="16"/>
                <w:szCs w:val="18"/>
                <w:lang w:val="fi-FI" w:eastAsia="fi-FI"/>
              </w:rPr>
            </w:pPr>
            <w:r w:rsidRPr="009173C5">
              <w:rPr>
                <w:rFonts w:ascii="Arial" w:hAnsi="Arial" w:cs="Arial"/>
                <w:b/>
                <w:bCs/>
                <w:i/>
                <w:iCs/>
                <w:color w:val="000000"/>
                <w:sz w:val="16"/>
                <w:szCs w:val="18"/>
                <w:lang w:eastAsia="ja-JP"/>
              </w:rPr>
              <w:t>BS type 2-O</w:t>
            </w:r>
          </w:p>
        </w:tc>
      </w:tr>
      <w:tr w:rsidR="009173C5" w:rsidRPr="009173C5" w14:paraId="582B4731"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50F7479"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BS output power</w:t>
            </w:r>
          </w:p>
        </w:tc>
        <w:tc>
          <w:tcPr>
            <w:tcW w:w="1060" w:type="dxa"/>
            <w:tcBorders>
              <w:top w:val="nil"/>
              <w:left w:val="nil"/>
              <w:bottom w:val="single" w:sz="8" w:space="0" w:color="auto"/>
              <w:right w:val="single" w:sz="8" w:space="0" w:color="auto"/>
            </w:tcBorders>
            <w:shd w:val="clear" w:color="auto" w:fill="auto"/>
            <w:vAlign w:val="center"/>
            <w:hideMark/>
          </w:tcPr>
          <w:p w14:paraId="6CF44209"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964BAD"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DE22828"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r>
      <w:tr w:rsidR="009173C5" w:rsidRPr="009173C5" w14:paraId="71A4206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0F5719A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Output power dynamics </w:t>
            </w:r>
          </w:p>
        </w:tc>
        <w:tc>
          <w:tcPr>
            <w:tcW w:w="1060" w:type="dxa"/>
            <w:tcBorders>
              <w:top w:val="nil"/>
              <w:left w:val="nil"/>
              <w:bottom w:val="single" w:sz="8" w:space="0" w:color="auto"/>
              <w:right w:val="single" w:sz="8" w:space="0" w:color="auto"/>
            </w:tcBorders>
            <w:shd w:val="clear" w:color="auto" w:fill="auto"/>
            <w:vAlign w:val="center"/>
            <w:hideMark/>
          </w:tcPr>
          <w:p w14:paraId="1B7F5F3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6.3</w:t>
            </w:r>
          </w:p>
        </w:tc>
        <w:tc>
          <w:tcPr>
            <w:tcW w:w="960" w:type="dxa"/>
            <w:vMerge/>
            <w:tcBorders>
              <w:top w:val="nil"/>
              <w:left w:val="single" w:sz="8" w:space="0" w:color="auto"/>
              <w:bottom w:val="single" w:sz="8" w:space="0" w:color="000000"/>
              <w:right w:val="single" w:sz="8" w:space="0" w:color="auto"/>
            </w:tcBorders>
            <w:vAlign w:val="center"/>
            <w:hideMark/>
          </w:tcPr>
          <w:p w14:paraId="00741155"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7FC98945"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60F90BC4"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407B792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Transmit ON/OFF power </w:t>
            </w:r>
          </w:p>
        </w:tc>
        <w:tc>
          <w:tcPr>
            <w:tcW w:w="1060" w:type="dxa"/>
            <w:tcBorders>
              <w:top w:val="nil"/>
              <w:left w:val="nil"/>
              <w:bottom w:val="single" w:sz="8" w:space="0" w:color="auto"/>
              <w:right w:val="single" w:sz="8" w:space="0" w:color="auto"/>
            </w:tcBorders>
            <w:shd w:val="clear" w:color="auto" w:fill="auto"/>
            <w:vAlign w:val="center"/>
            <w:hideMark/>
          </w:tcPr>
          <w:p w14:paraId="5BE41C3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6.4</w:t>
            </w:r>
          </w:p>
        </w:tc>
        <w:tc>
          <w:tcPr>
            <w:tcW w:w="960" w:type="dxa"/>
            <w:vMerge/>
            <w:tcBorders>
              <w:top w:val="nil"/>
              <w:left w:val="single" w:sz="8" w:space="0" w:color="auto"/>
              <w:bottom w:val="single" w:sz="8" w:space="0" w:color="000000"/>
              <w:right w:val="single" w:sz="8" w:space="0" w:color="auto"/>
            </w:tcBorders>
            <w:vAlign w:val="center"/>
            <w:hideMark/>
          </w:tcPr>
          <w:p w14:paraId="591A7F2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688C147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7261486E"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4D453A7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Transmitted signal quality</w:t>
            </w:r>
          </w:p>
        </w:tc>
        <w:tc>
          <w:tcPr>
            <w:tcW w:w="1060" w:type="dxa"/>
            <w:tcBorders>
              <w:top w:val="nil"/>
              <w:left w:val="nil"/>
              <w:bottom w:val="single" w:sz="8" w:space="0" w:color="auto"/>
              <w:right w:val="single" w:sz="8" w:space="0" w:color="auto"/>
            </w:tcBorders>
            <w:shd w:val="clear" w:color="auto" w:fill="auto"/>
            <w:vAlign w:val="center"/>
            <w:hideMark/>
          </w:tcPr>
          <w:p w14:paraId="73DFCB87"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6.5</w:t>
            </w:r>
          </w:p>
        </w:tc>
        <w:tc>
          <w:tcPr>
            <w:tcW w:w="960" w:type="dxa"/>
            <w:vMerge/>
            <w:tcBorders>
              <w:top w:val="nil"/>
              <w:left w:val="single" w:sz="8" w:space="0" w:color="auto"/>
              <w:bottom w:val="single" w:sz="8" w:space="0" w:color="000000"/>
              <w:right w:val="single" w:sz="8" w:space="0" w:color="auto"/>
            </w:tcBorders>
            <w:vAlign w:val="center"/>
            <w:hideMark/>
          </w:tcPr>
          <w:p w14:paraId="6B8FE90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0AEAF26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24DECC5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92491F5"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Occupied bandwidth</w:t>
            </w:r>
          </w:p>
        </w:tc>
        <w:tc>
          <w:tcPr>
            <w:tcW w:w="1060" w:type="dxa"/>
            <w:tcBorders>
              <w:top w:val="nil"/>
              <w:left w:val="nil"/>
              <w:bottom w:val="single" w:sz="8" w:space="0" w:color="auto"/>
              <w:right w:val="single" w:sz="8" w:space="0" w:color="auto"/>
            </w:tcBorders>
            <w:shd w:val="clear" w:color="auto" w:fill="auto"/>
            <w:vAlign w:val="center"/>
            <w:hideMark/>
          </w:tcPr>
          <w:p w14:paraId="2B00305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6.6.2</w:t>
            </w:r>
          </w:p>
        </w:tc>
        <w:tc>
          <w:tcPr>
            <w:tcW w:w="960" w:type="dxa"/>
            <w:vMerge/>
            <w:tcBorders>
              <w:top w:val="nil"/>
              <w:left w:val="single" w:sz="8" w:space="0" w:color="auto"/>
              <w:bottom w:val="single" w:sz="8" w:space="0" w:color="000000"/>
              <w:right w:val="single" w:sz="8" w:space="0" w:color="auto"/>
            </w:tcBorders>
            <w:vAlign w:val="center"/>
            <w:hideMark/>
          </w:tcPr>
          <w:p w14:paraId="414BF06B"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19531F27"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342655A9"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25145A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ACLR</w:t>
            </w:r>
          </w:p>
        </w:tc>
        <w:tc>
          <w:tcPr>
            <w:tcW w:w="1060" w:type="dxa"/>
            <w:tcBorders>
              <w:top w:val="nil"/>
              <w:left w:val="nil"/>
              <w:bottom w:val="single" w:sz="8" w:space="0" w:color="auto"/>
              <w:right w:val="single" w:sz="8" w:space="0" w:color="auto"/>
            </w:tcBorders>
            <w:shd w:val="clear" w:color="auto" w:fill="auto"/>
            <w:vAlign w:val="center"/>
            <w:hideMark/>
          </w:tcPr>
          <w:p w14:paraId="52E8CAD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6.6.3</w:t>
            </w:r>
          </w:p>
        </w:tc>
        <w:tc>
          <w:tcPr>
            <w:tcW w:w="960" w:type="dxa"/>
            <w:vMerge/>
            <w:tcBorders>
              <w:top w:val="nil"/>
              <w:left w:val="single" w:sz="8" w:space="0" w:color="auto"/>
              <w:bottom w:val="single" w:sz="8" w:space="0" w:color="000000"/>
              <w:right w:val="single" w:sz="8" w:space="0" w:color="auto"/>
            </w:tcBorders>
            <w:vAlign w:val="center"/>
            <w:hideMark/>
          </w:tcPr>
          <w:p w14:paraId="47B97689"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310551F8"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5FECE465"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3DB1019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Operating band unwanted emissions</w:t>
            </w:r>
          </w:p>
        </w:tc>
        <w:tc>
          <w:tcPr>
            <w:tcW w:w="1060" w:type="dxa"/>
            <w:tcBorders>
              <w:top w:val="nil"/>
              <w:left w:val="nil"/>
              <w:bottom w:val="nil"/>
              <w:right w:val="single" w:sz="8" w:space="0" w:color="auto"/>
            </w:tcBorders>
            <w:shd w:val="clear" w:color="auto" w:fill="auto"/>
            <w:vAlign w:val="center"/>
            <w:hideMark/>
          </w:tcPr>
          <w:p w14:paraId="4A961B5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6.6.4</w:t>
            </w:r>
          </w:p>
        </w:tc>
        <w:tc>
          <w:tcPr>
            <w:tcW w:w="960" w:type="dxa"/>
            <w:vMerge/>
            <w:tcBorders>
              <w:top w:val="nil"/>
              <w:left w:val="single" w:sz="8" w:space="0" w:color="auto"/>
              <w:bottom w:val="single" w:sz="8" w:space="0" w:color="000000"/>
              <w:right w:val="single" w:sz="8" w:space="0" w:color="auto"/>
            </w:tcBorders>
            <w:vAlign w:val="center"/>
            <w:hideMark/>
          </w:tcPr>
          <w:p w14:paraId="7BA31E75"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3BD47081"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2FE62E89"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E02E73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Transmitter spurious emissions</w:t>
            </w:r>
          </w:p>
        </w:tc>
        <w:tc>
          <w:tcPr>
            <w:tcW w:w="1060" w:type="dxa"/>
            <w:tcBorders>
              <w:top w:val="nil"/>
              <w:left w:val="nil"/>
              <w:bottom w:val="single" w:sz="8" w:space="0" w:color="auto"/>
              <w:right w:val="single" w:sz="8" w:space="0" w:color="auto"/>
            </w:tcBorders>
            <w:shd w:val="clear" w:color="auto" w:fill="auto"/>
            <w:vAlign w:val="center"/>
            <w:hideMark/>
          </w:tcPr>
          <w:p w14:paraId="706DBBE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6.6.5</w:t>
            </w:r>
          </w:p>
        </w:tc>
        <w:tc>
          <w:tcPr>
            <w:tcW w:w="960" w:type="dxa"/>
            <w:vMerge/>
            <w:tcBorders>
              <w:top w:val="nil"/>
              <w:left w:val="single" w:sz="8" w:space="0" w:color="auto"/>
              <w:bottom w:val="single" w:sz="8" w:space="0" w:color="000000"/>
              <w:right w:val="single" w:sz="8" w:space="0" w:color="auto"/>
            </w:tcBorders>
            <w:vAlign w:val="center"/>
            <w:hideMark/>
          </w:tcPr>
          <w:p w14:paraId="3CCE0487"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46907BB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164DEB22"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2C94139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Transmitter intermodulation </w:t>
            </w:r>
          </w:p>
        </w:tc>
        <w:tc>
          <w:tcPr>
            <w:tcW w:w="1060" w:type="dxa"/>
            <w:tcBorders>
              <w:top w:val="nil"/>
              <w:left w:val="nil"/>
              <w:bottom w:val="single" w:sz="8" w:space="0" w:color="auto"/>
              <w:right w:val="single" w:sz="8" w:space="0" w:color="auto"/>
            </w:tcBorders>
            <w:shd w:val="clear" w:color="auto" w:fill="auto"/>
            <w:vAlign w:val="center"/>
            <w:hideMark/>
          </w:tcPr>
          <w:p w14:paraId="47BF545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6.7</w:t>
            </w:r>
          </w:p>
        </w:tc>
        <w:tc>
          <w:tcPr>
            <w:tcW w:w="960" w:type="dxa"/>
            <w:vMerge/>
            <w:tcBorders>
              <w:top w:val="nil"/>
              <w:left w:val="single" w:sz="8" w:space="0" w:color="auto"/>
              <w:bottom w:val="single" w:sz="8" w:space="0" w:color="000000"/>
              <w:right w:val="single" w:sz="8" w:space="0" w:color="auto"/>
            </w:tcBorders>
            <w:vAlign w:val="center"/>
            <w:hideMark/>
          </w:tcPr>
          <w:p w14:paraId="1212EC44"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7AFEA6B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4B6D116A"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4642438E"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Reference sensitivity level</w:t>
            </w:r>
          </w:p>
        </w:tc>
        <w:tc>
          <w:tcPr>
            <w:tcW w:w="1060" w:type="dxa"/>
            <w:tcBorders>
              <w:top w:val="nil"/>
              <w:left w:val="nil"/>
              <w:bottom w:val="single" w:sz="8" w:space="0" w:color="auto"/>
              <w:right w:val="single" w:sz="8" w:space="0" w:color="auto"/>
            </w:tcBorders>
            <w:shd w:val="clear" w:color="auto" w:fill="auto"/>
            <w:vAlign w:val="center"/>
            <w:hideMark/>
          </w:tcPr>
          <w:p w14:paraId="77266E0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7.2</w:t>
            </w:r>
          </w:p>
        </w:tc>
        <w:tc>
          <w:tcPr>
            <w:tcW w:w="960" w:type="dxa"/>
            <w:vMerge/>
            <w:tcBorders>
              <w:top w:val="nil"/>
              <w:left w:val="single" w:sz="8" w:space="0" w:color="auto"/>
              <w:bottom w:val="single" w:sz="8" w:space="0" w:color="000000"/>
              <w:right w:val="single" w:sz="8" w:space="0" w:color="auto"/>
            </w:tcBorders>
            <w:vAlign w:val="center"/>
            <w:hideMark/>
          </w:tcPr>
          <w:p w14:paraId="1857314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640914BA"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2461733C"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3241F44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Dynamic range </w:t>
            </w:r>
          </w:p>
        </w:tc>
        <w:tc>
          <w:tcPr>
            <w:tcW w:w="1060" w:type="dxa"/>
            <w:tcBorders>
              <w:top w:val="nil"/>
              <w:left w:val="nil"/>
              <w:bottom w:val="single" w:sz="8" w:space="0" w:color="auto"/>
              <w:right w:val="single" w:sz="8" w:space="0" w:color="auto"/>
            </w:tcBorders>
            <w:shd w:val="clear" w:color="auto" w:fill="auto"/>
            <w:vAlign w:val="center"/>
            <w:hideMark/>
          </w:tcPr>
          <w:p w14:paraId="27457A2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7.3</w:t>
            </w:r>
          </w:p>
        </w:tc>
        <w:tc>
          <w:tcPr>
            <w:tcW w:w="960" w:type="dxa"/>
            <w:vMerge/>
            <w:tcBorders>
              <w:top w:val="nil"/>
              <w:left w:val="single" w:sz="8" w:space="0" w:color="auto"/>
              <w:bottom w:val="single" w:sz="8" w:space="0" w:color="000000"/>
              <w:right w:val="single" w:sz="8" w:space="0" w:color="auto"/>
            </w:tcBorders>
            <w:vAlign w:val="center"/>
            <w:hideMark/>
          </w:tcPr>
          <w:p w14:paraId="2F6ADCCA"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31A50FF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28CD7A49"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498E80BD"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 xml:space="preserve">In-band selectivity and blocking </w:t>
            </w:r>
          </w:p>
        </w:tc>
        <w:tc>
          <w:tcPr>
            <w:tcW w:w="1060" w:type="dxa"/>
            <w:tcBorders>
              <w:top w:val="nil"/>
              <w:left w:val="nil"/>
              <w:bottom w:val="single" w:sz="8" w:space="0" w:color="auto"/>
              <w:right w:val="single" w:sz="8" w:space="0" w:color="auto"/>
            </w:tcBorders>
            <w:shd w:val="clear" w:color="auto" w:fill="auto"/>
            <w:vAlign w:val="center"/>
            <w:hideMark/>
          </w:tcPr>
          <w:p w14:paraId="7AEDB87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7.4</w:t>
            </w:r>
          </w:p>
        </w:tc>
        <w:tc>
          <w:tcPr>
            <w:tcW w:w="960" w:type="dxa"/>
            <w:vMerge/>
            <w:tcBorders>
              <w:top w:val="nil"/>
              <w:left w:val="single" w:sz="8" w:space="0" w:color="auto"/>
              <w:bottom w:val="single" w:sz="8" w:space="0" w:color="000000"/>
              <w:right w:val="single" w:sz="8" w:space="0" w:color="auto"/>
            </w:tcBorders>
            <w:vAlign w:val="center"/>
            <w:hideMark/>
          </w:tcPr>
          <w:p w14:paraId="0CCB677C"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724DAC07"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5997E367"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6DD9122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Out-of-band blocking </w:t>
            </w:r>
          </w:p>
        </w:tc>
        <w:tc>
          <w:tcPr>
            <w:tcW w:w="1060" w:type="dxa"/>
            <w:tcBorders>
              <w:top w:val="nil"/>
              <w:left w:val="nil"/>
              <w:bottom w:val="single" w:sz="8" w:space="0" w:color="auto"/>
              <w:right w:val="single" w:sz="8" w:space="0" w:color="auto"/>
            </w:tcBorders>
            <w:shd w:val="clear" w:color="auto" w:fill="auto"/>
            <w:vAlign w:val="center"/>
            <w:hideMark/>
          </w:tcPr>
          <w:p w14:paraId="3B9AD8A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7.5</w:t>
            </w:r>
          </w:p>
        </w:tc>
        <w:tc>
          <w:tcPr>
            <w:tcW w:w="960" w:type="dxa"/>
            <w:vMerge/>
            <w:tcBorders>
              <w:top w:val="nil"/>
              <w:left w:val="single" w:sz="8" w:space="0" w:color="auto"/>
              <w:bottom w:val="single" w:sz="8" w:space="0" w:color="000000"/>
              <w:right w:val="single" w:sz="8" w:space="0" w:color="auto"/>
            </w:tcBorders>
            <w:vAlign w:val="center"/>
            <w:hideMark/>
          </w:tcPr>
          <w:p w14:paraId="3E777C21"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08E1CD91"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3C469DCB"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32FBDB4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Receiver spurious emissions </w:t>
            </w:r>
          </w:p>
        </w:tc>
        <w:tc>
          <w:tcPr>
            <w:tcW w:w="1060" w:type="dxa"/>
            <w:tcBorders>
              <w:top w:val="nil"/>
              <w:left w:val="nil"/>
              <w:bottom w:val="single" w:sz="8" w:space="0" w:color="auto"/>
              <w:right w:val="single" w:sz="8" w:space="0" w:color="auto"/>
            </w:tcBorders>
            <w:shd w:val="clear" w:color="auto" w:fill="auto"/>
            <w:vAlign w:val="center"/>
            <w:hideMark/>
          </w:tcPr>
          <w:p w14:paraId="031926F7"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7.6</w:t>
            </w:r>
          </w:p>
        </w:tc>
        <w:tc>
          <w:tcPr>
            <w:tcW w:w="960" w:type="dxa"/>
            <w:vMerge/>
            <w:tcBorders>
              <w:top w:val="nil"/>
              <w:left w:val="single" w:sz="8" w:space="0" w:color="auto"/>
              <w:bottom w:val="single" w:sz="8" w:space="0" w:color="000000"/>
              <w:right w:val="single" w:sz="8" w:space="0" w:color="auto"/>
            </w:tcBorders>
            <w:vAlign w:val="center"/>
            <w:hideMark/>
          </w:tcPr>
          <w:p w14:paraId="76F88D38"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384EA617"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05674291"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C203BA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Receiver intermodulation</w:t>
            </w:r>
          </w:p>
        </w:tc>
        <w:tc>
          <w:tcPr>
            <w:tcW w:w="1060" w:type="dxa"/>
            <w:tcBorders>
              <w:top w:val="nil"/>
              <w:left w:val="nil"/>
              <w:bottom w:val="single" w:sz="8" w:space="0" w:color="auto"/>
              <w:right w:val="single" w:sz="8" w:space="0" w:color="auto"/>
            </w:tcBorders>
            <w:shd w:val="clear" w:color="auto" w:fill="auto"/>
            <w:vAlign w:val="center"/>
            <w:hideMark/>
          </w:tcPr>
          <w:p w14:paraId="7B9C62E1"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7.7</w:t>
            </w:r>
          </w:p>
        </w:tc>
        <w:tc>
          <w:tcPr>
            <w:tcW w:w="960" w:type="dxa"/>
            <w:vMerge/>
            <w:tcBorders>
              <w:top w:val="nil"/>
              <w:left w:val="single" w:sz="8" w:space="0" w:color="auto"/>
              <w:bottom w:val="single" w:sz="8" w:space="0" w:color="000000"/>
              <w:right w:val="single" w:sz="8" w:space="0" w:color="auto"/>
            </w:tcBorders>
            <w:vAlign w:val="center"/>
            <w:hideMark/>
          </w:tcPr>
          <w:p w14:paraId="398A5863"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0B6D912E"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056B1CB8"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657178A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In-channel selectivity </w:t>
            </w:r>
          </w:p>
        </w:tc>
        <w:tc>
          <w:tcPr>
            <w:tcW w:w="1060" w:type="dxa"/>
            <w:tcBorders>
              <w:top w:val="nil"/>
              <w:left w:val="nil"/>
              <w:bottom w:val="single" w:sz="8" w:space="0" w:color="auto"/>
              <w:right w:val="single" w:sz="8" w:space="0" w:color="auto"/>
            </w:tcBorders>
            <w:shd w:val="clear" w:color="auto" w:fill="auto"/>
            <w:vAlign w:val="center"/>
            <w:hideMark/>
          </w:tcPr>
          <w:p w14:paraId="4D2DD56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7.8</w:t>
            </w:r>
          </w:p>
        </w:tc>
        <w:tc>
          <w:tcPr>
            <w:tcW w:w="960" w:type="dxa"/>
            <w:vMerge/>
            <w:tcBorders>
              <w:top w:val="nil"/>
              <w:left w:val="single" w:sz="8" w:space="0" w:color="auto"/>
              <w:bottom w:val="single" w:sz="8" w:space="0" w:color="000000"/>
              <w:right w:val="single" w:sz="8" w:space="0" w:color="auto"/>
            </w:tcBorders>
            <w:vAlign w:val="center"/>
            <w:hideMark/>
          </w:tcPr>
          <w:p w14:paraId="72601E7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vMerge/>
            <w:tcBorders>
              <w:top w:val="nil"/>
              <w:left w:val="single" w:sz="8" w:space="0" w:color="auto"/>
              <w:bottom w:val="single" w:sz="8" w:space="0" w:color="000000"/>
              <w:right w:val="single" w:sz="8" w:space="0" w:color="auto"/>
            </w:tcBorders>
            <w:vAlign w:val="center"/>
            <w:hideMark/>
          </w:tcPr>
          <w:p w14:paraId="6C7CA8F8"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r>
      <w:tr w:rsidR="009173C5" w:rsidRPr="009173C5" w14:paraId="0653BB9D"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9398499"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Radiated transmit power</w:t>
            </w:r>
          </w:p>
        </w:tc>
        <w:tc>
          <w:tcPr>
            <w:tcW w:w="1060" w:type="dxa"/>
            <w:tcBorders>
              <w:top w:val="nil"/>
              <w:left w:val="nil"/>
              <w:bottom w:val="single" w:sz="8" w:space="0" w:color="auto"/>
              <w:right w:val="single" w:sz="8" w:space="0" w:color="auto"/>
            </w:tcBorders>
            <w:shd w:val="clear" w:color="auto" w:fill="auto"/>
            <w:vAlign w:val="center"/>
            <w:hideMark/>
          </w:tcPr>
          <w:p w14:paraId="2EA0E5E8"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9.2</w:t>
            </w:r>
          </w:p>
        </w:tc>
        <w:tc>
          <w:tcPr>
            <w:tcW w:w="960" w:type="dxa"/>
            <w:tcBorders>
              <w:top w:val="nil"/>
              <w:left w:val="nil"/>
              <w:bottom w:val="single" w:sz="8" w:space="0" w:color="auto"/>
              <w:right w:val="single" w:sz="8" w:space="0" w:color="auto"/>
            </w:tcBorders>
            <w:shd w:val="clear" w:color="auto" w:fill="auto"/>
            <w:vAlign w:val="center"/>
            <w:hideMark/>
          </w:tcPr>
          <w:p w14:paraId="6DA0C6B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9.2</w:t>
            </w:r>
          </w:p>
        </w:tc>
        <w:tc>
          <w:tcPr>
            <w:tcW w:w="960" w:type="dxa"/>
            <w:tcBorders>
              <w:top w:val="nil"/>
              <w:left w:val="nil"/>
              <w:bottom w:val="single" w:sz="8" w:space="0" w:color="auto"/>
              <w:right w:val="single" w:sz="8" w:space="0" w:color="auto"/>
            </w:tcBorders>
            <w:shd w:val="clear" w:color="auto" w:fill="auto"/>
            <w:vAlign w:val="center"/>
            <w:hideMark/>
          </w:tcPr>
          <w:p w14:paraId="4BF4B86B"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9.2</w:t>
            </w:r>
          </w:p>
        </w:tc>
      </w:tr>
      <w:tr w:rsidR="009173C5" w:rsidRPr="009173C5" w14:paraId="387C9A7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5551283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OTA base station output power</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5817A76"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c>
          <w:tcPr>
            <w:tcW w:w="960" w:type="dxa"/>
            <w:tcBorders>
              <w:top w:val="nil"/>
              <w:left w:val="nil"/>
              <w:bottom w:val="single" w:sz="8" w:space="0" w:color="auto"/>
              <w:right w:val="single" w:sz="8" w:space="0" w:color="auto"/>
            </w:tcBorders>
            <w:shd w:val="clear" w:color="auto" w:fill="auto"/>
            <w:vAlign w:val="center"/>
            <w:hideMark/>
          </w:tcPr>
          <w:p w14:paraId="7343D396"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9.3</w:t>
            </w:r>
          </w:p>
        </w:tc>
        <w:tc>
          <w:tcPr>
            <w:tcW w:w="960" w:type="dxa"/>
            <w:tcBorders>
              <w:top w:val="nil"/>
              <w:left w:val="nil"/>
              <w:bottom w:val="single" w:sz="8" w:space="0" w:color="auto"/>
              <w:right w:val="single" w:sz="8" w:space="0" w:color="auto"/>
            </w:tcBorders>
            <w:shd w:val="clear" w:color="auto" w:fill="auto"/>
            <w:vAlign w:val="center"/>
            <w:hideMark/>
          </w:tcPr>
          <w:p w14:paraId="0C190FB7"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9.3</w:t>
            </w:r>
          </w:p>
        </w:tc>
      </w:tr>
      <w:tr w:rsidR="009173C5" w:rsidRPr="009173C5" w14:paraId="04141078"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F3E05B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output power dynamics</w:t>
            </w:r>
          </w:p>
        </w:tc>
        <w:tc>
          <w:tcPr>
            <w:tcW w:w="1060" w:type="dxa"/>
            <w:vMerge/>
            <w:tcBorders>
              <w:top w:val="nil"/>
              <w:left w:val="single" w:sz="8" w:space="0" w:color="auto"/>
              <w:bottom w:val="single" w:sz="8" w:space="0" w:color="000000"/>
              <w:right w:val="single" w:sz="8" w:space="0" w:color="auto"/>
            </w:tcBorders>
            <w:vAlign w:val="center"/>
            <w:hideMark/>
          </w:tcPr>
          <w:p w14:paraId="296F2D4E"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2929D6A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9.4</w:t>
            </w:r>
          </w:p>
        </w:tc>
        <w:tc>
          <w:tcPr>
            <w:tcW w:w="960" w:type="dxa"/>
            <w:tcBorders>
              <w:top w:val="nil"/>
              <w:left w:val="nil"/>
              <w:bottom w:val="single" w:sz="8" w:space="0" w:color="auto"/>
              <w:right w:val="single" w:sz="8" w:space="0" w:color="auto"/>
            </w:tcBorders>
            <w:shd w:val="clear" w:color="auto" w:fill="auto"/>
            <w:vAlign w:val="center"/>
            <w:hideMark/>
          </w:tcPr>
          <w:p w14:paraId="451CFC9E"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9.4</w:t>
            </w:r>
          </w:p>
        </w:tc>
      </w:tr>
      <w:tr w:rsidR="009173C5" w:rsidRPr="009173C5" w14:paraId="7BC3C4CE"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0C8819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OTA transmit ON/OFF power</w:t>
            </w:r>
          </w:p>
        </w:tc>
        <w:tc>
          <w:tcPr>
            <w:tcW w:w="1060" w:type="dxa"/>
            <w:vMerge/>
            <w:tcBorders>
              <w:top w:val="nil"/>
              <w:left w:val="single" w:sz="8" w:space="0" w:color="auto"/>
              <w:bottom w:val="single" w:sz="8" w:space="0" w:color="000000"/>
              <w:right w:val="single" w:sz="8" w:space="0" w:color="auto"/>
            </w:tcBorders>
            <w:vAlign w:val="center"/>
            <w:hideMark/>
          </w:tcPr>
          <w:p w14:paraId="772162D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eastAsia="fi-FI"/>
              </w:rPr>
            </w:pPr>
          </w:p>
        </w:tc>
        <w:tc>
          <w:tcPr>
            <w:tcW w:w="960" w:type="dxa"/>
            <w:tcBorders>
              <w:top w:val="nil"/>
              <w:left w:val="nil"/>
              <w:bottom w:val="single" w:sz="8" w:space="0" w:color="auto"/>
              <w:right w:val="single" w:sz="8" w:space="0" w:color="auto"/>
            </w:tcBorders>
            <w:shd w:val="clear" w:color="auto" w:fill="auto"/>
            <w:vAlign w:val="center"/>
            <w:hideMark/>
          </w:tcPr>
          <w:p w14:paraId="56D8AC4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9.5</w:t>
            </w:r>
          </w:p>
        </w:tc>
        <w:tc>
          <w:tcPr>
            <w:tcW w:w="960" w:type="dxa"/>
            <w:tcBorders>
              <w:top w:val="nil"/>
              <w:left w:val="nil"/>
              <w:bottom w:val="single" w:sz="8" w:space="0" w:color="auto"/>
              <w:right w:val="single" w:sz="8" w:space="0" w:color="auto"/>
            </w:tcBorders>
            <w:shd w:val="clear" w:color="auto" w:fill="auto"/>
            <w:vAlign w:val="center"/>
            <w:hideMark/>
          </w:tcPr>
          <w:p w14:paraId="51566DE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9.5</w:t>
            </w:r>
          </w:p>
        </w:tc>
      </w:tr>
      <w:tr w:rsidR="009173C5" w:rsidRPr="009173C5" w14:paraId="724F48FC"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20621D61"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transmitted signal quality</w:t>
            </w:r>
          </w:p>
        </w:tc>
        <w:tc>
          <w:tcPr>
            <w:tcW w:w="1060" w:type="dxa"/>
            <w:vMerge/>
            <w:tcBorders>
              <w:top w:val="nil"/>
              <w:left w:val="single" w:sz="8" w:space="0" w:color="auto"/>
              <w:bottom w:val="single" w:sz="8" w:space="0" w:color="000000"/>
              <w:right w:val="single" w:sz="8" w:space="0" w:color="auto"/>
            </w:tcBorders>
            <w:vAlign w:val="center"/>
            <w:hideMark/>
          </w:tcPr>
          <w:p w14:paraId="6F0DE688"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0351D68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9.6</w:t>
            </w:r>
          </w:p>
        </w:tc>
        <w:tc>
          <w:tcPr>
            <w:tcW w:w="960" w:type="dxa"/>
            <w:tcBorders>
              <w:top w:val="nil"/>
              <w:left w:val="nil"/>
              <w:bottom w:val="single" w:sz="8" w:space="0" w:color="auto"/>
              <w:right w:val="single" w:sz="8" w:space="0" w:color="auto"/>
            </w:tcBorders>
            <w:shd w:val="clear" w:color="auto" w:fill="auto"/>
            <w:vAlign w:val="center"/>
            <w:hideMark/>
          </w:tcPr>
          <w:p w14:paraId="759F10A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9.6</w:t>
            </w:r>
          </w:p>
        </w:tc>
      </w:tr>
      <w:tr w:rsidR="009173C5" w:rsidRPr="009173C5" w14:paraId="75E61DD1"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66AFECC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occupied bandwidth</w:t>
            </w:r>
          </w:p>
        </w:tc>
        <w:tc>
          <w:tcPr>
            <w:tcW w:w="1060" w:type="dxa"/>
            <w:vMerge/>
            <w:tcBorders>
              <w:top w:val="nil"/>
              <w:left w:val="single" w:sz="8" w:space="0" w:color="auto"/>
              <w:bottom w:val="single" w:sz="8" w:space="0" w:color="000000"/>
              <w:right w:val="single" w:sz="8" w:space="0" w:color="auto"/>
            </w:tcBorders>
            <w:vAlign w:val="center"/>
            <w:hideMark/>
          </w:tcPr>
          <w:p w14:paraId="061C34B1"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031E10F8"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9.7.2</w:t>
            </w:r>
          </w:p>
        </w:tc>
        <w:tc>
          <w:tcPr>
            <w:tcW w:w="960" w:type="dxa"/>
            <w:tcBorders>
              <w:top w:val="nil"/>
              <w:left w:val="nil"/>
              <w:bottom w:val="single" w:sz="8" w:space="0" w:color="auto"/>
              <w:right w:val="single" w:sz="8" w:space="0" w:color="auto"/>
            </w:tcBorders>
            <w:shd w:val="clear" w:color="auto" w:fill="auto"/>
            <w:vAlign w:val="center"/>
            <w:hideMark/>
          </w:tcPr>
          <w:p w14:paraId="337DA315"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9.7.2</w:t>
            </w:r>
          </w:p>
        </w:tc>
      </w:tr>
      <w:tr w:rsidR="009173C5" w:rsidRPr="009173C5" w14:paraId="7882CC28"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812CCD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ACLR</w:t>
            </w:r>
          </w:p>
        </w:tc>
        <w:tc>
          <w:tcPr>
            <w:tcW w:w="1060" w:type="dxa"/>
            <w:vMerge/>
            <w:tcBorders>
              <w:top w:val="nil"/>
              <w:left w:val="single" w:sz="8" w:space="0" w:color="auto"/>
              <w:bottom w:val="single" w:sz="8" w:space="0" w:color="000000"/>
              <w:right w:val="single" w:sz="8" w:space="0" w:color="auto"/>
            </w:tcBorders>
            <w:vAlign w:val="center"/>
            <w:hideMark/>
          </w:tcPr>
          <w:p w14:paraId="24484B5D"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047FF5A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9.7.3</w:t>
            </w:r>
          </w:p>
        </w:tc>
        <w:tc>
          <w:tcPr>
            <w:tcW w:w="960" w:type="dxa"/>
            <w:tcBorders>
              <w:top w:val="nil"/>
              <w:left w:val="nil"/>
              <w:bottom w:val="single" w:sz="8" w:space="0" w:color="auto"/>
              <w:right w:val="single" w:sz="8" w:space="0" w:color="auto"/>
            </w:tcBorders>
            <w:shd w:val="clear" w:color="auto" w:fill="auto"/>
            <w:vAlign w:val="center"/>
            <w:hideMark/>
          </w:tcPr>
          <w:p w14:paraId="3C00748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9.7.3</w:t>
            </w:r>
          </w:p>
        </w:tc>
      </w:tr>
      <w:tr w:rsidR="009173C5" w:rsidRPr="009173C5" w14:paraId="7FE8AD4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4CDF236D"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OTA out-of-band emission</w:t>
            </w:r>
          </w:p>
        </w:tc>
        <w:tc>
          <w:tcPr>
            <w:tcW w:w="1060" w:type="dxa"/>
            <w:vMerge/>
            <w:tcBorders>
              <w:top w:val="nil"/>
              <w:left w:val="single" w:sz="8" w:space="0" w:color="auto"/>
              <w:bottom w:val="single" w:sz="8" w:space="0" w:color="000000"/>
              <w:right w:val="single" w:sz="8" w:space="0" w:color="auto"/>
            </w:tcBorders>
            <w:vAlign w:val="center"/>
            <w:hideMark/>
          </w:tcPr>
          <w:p w14:paraId="275EE10B"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eastAsia="fi-FI"/>
              </w:rPr>
            </w:pPr>
          </w:p>
        </w:tc>
        <w:tc>
          <w:tcPr>
            <w:tcW w:w="960" w:type="dxa"/>
            <w:tcBorders>
              <w:top w:val="nil"/>
              <w:left w:val="nil"/>
              <w:bottom w:val="single" w:sz="8" w:space="0" w:color="auto"/>
              <w:right w:val="single" w:sz="8" w:space="0" w:color="auto"/>
            </w:tcBorders>
            <w:shd w:val="clear" w:color="auto" w:fill="auto"/>
            <w:vAlign w:val="center"/>
            <w:hideMark/>
          </w:tcPr>
          <w:p w14:paraId="7DEC31AB"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9.7.4</w:t>
            </w:r>
          </w:p>
        </w:tc>
        <w:tc>
          <w:tcPr>
            <w:tcW w:w="960" w:type="dxa"/>
            <w:tcBorders>
              <w:top w:val="nil"/>
              <w:left w:val="nil"/>
              <w:bottom w:val="single" w:sz="8" w:space="0" w:color="auto"/>
              <w:right w:val="single" w:sz="8" w:space="0" w:color="auto"/>
            </w:tcBorders>
            <w:shd w:val="clear" w:color="auto" w:fill="auto"/>
            <w:vAlign w:val="center"/>
            <w:hideMark/>
          </w:tcPr>
          <w:p w14:paraId="693A62AE"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9.7.4</w:t>
            </w:r>
          </w:p>
        </w:tc>
      </w:tr>
      <w:tr w:rsidR="009173C5" w:rsidRPr="009173C5" w14:paraId="5E5DD266"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1C4BCD71"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OTA transmitter spurious emission </w:t>
            </w:r>
          </w:p>
        </w:tc>
        <w:tc>
          <w:tcPr>
            <w:tcW w:w="1060" w:type="dxa"/>
            <w:vMerge/>
            <w:tcBorders>
              <w:top w:val="nil"/>
              <w:left w:val="single" w:sz="8" w:space="0" w:color="auto"/>
              <w:bottom w:val="single" w:sz="8" w:space="0" w:color="000000"/>
              <w:right w:val="single" w:sz="8" w:space="0" w:color="auto"/>
            </w:tcBorders>
            <w:vAlign w:val="center"/>
            <w:hideMark/>
          </w:tcPr>
          <w:p w14:paraId="23152352"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7CF8CE4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9.7.5</w:t>
            </w:r>
          </w:p>
        </w:tc>
        <w:tc>
          <w:tcPr>
            <w:tcW w:w="960" w:type="dxa"/>
            <w:tcBorders>
              <w:top w:val="nil"/>
              <w:left w:val="nil"/>
              <w:bottom w:val="single" w:sz="8" w:space="0" w:color="auto"/>
              <w:right w:val="single" w:sz="8" w:space="0" w:color="auto"/>
            </w:tcBorders>
            <w:shd w:val="clear" w:color="auto" w:fill="auto"/>
            <w:vAlign w:val="center"/>
            <w:hideMark/>
          </w:tcPr>
          <w:p w14:paraId="700DD97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9.7.5</w:t>
            </w:r>
          </w:p>
        </w:tc>
      </w:tr>
      <w:tr w:rsidR="009173C5" w:rsidRPr="009173C5" w14:paraId="6D3E719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505D773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lastRenderedPageBreak/>
              <w:t xml:space="preserve">OTA transmitter intermodulation </w:t>
            </w:r>
          </w:p>
        </w:tc>
        <w:tc>
          <w:tcPr>
            <w:tcW w:w="1060" w:type="dxa"/>
            <w:vMerge/>
            <w:tcBorders>
              <w:top w:val="nil"/>
              <w:left w:val="single" w:sz="8" w:space="0" w:color="auto"/>
              <w:bottom w:val="single" w:sz="8" w:space="0" w:color="000000"/>
              <w:right w:val="single" w:sz="8" w:space="0" w:color="auto"/>
            </w:tcBorders>
            <w:vAlign w:val="center"/>
            <w:hideMark/>
          </w:tcPr>
          <w:p w14:paraId="2CB40D05"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12643297"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9.8</w:t>
            </w:r>
          </w:p>
        </w:tc>
        <w:tc>
          <w:tcPr>
            <w:tcW w:w="960" w:type="dxa"/>
            <w:tcBorders>
              <w:top w:val="nil"/>
              <w:left w:val="nil"/>
              <w:bottom w:val="single" w:sz="8" w:space="0" w:color="auto"/>
              <w:right w:val="single" w:sz="8" w:space="0" w:color="auto"/>
            </w:tcBorders>
            <w:shd w:val="clear" w:color="auto" w:fill="auto"/>
            <w:vAlign w:val="center"/>
            <w:hideMark/>
          </w:tcPr>
          <w:p w14:paraId="28F5800E"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r>
      <w:tr w:rsidR="009173C5" w:rsidRPr="009173C5" w14:paraId="0F77B21A"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0F98021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sensitivity</w:t>
            </w:r>
          </w:p>
        </w:tc>
        <w:tc>
          <w:tcPr>
            <w:tcW w:w="1060" w:type="dxa"/>
            <w:tcBorders>
              <w:top w:val="nil"/>
              <w:left w:val="nil"/>
              <w:bottom w:val="single" w:sz="8" w:space="0" w:color="auto"/>
              <w:right w:val="single" w:sz="8" w:space="0" w:color="auto"/>
            </w:tcBorders>
            <w:shd w:val="clear" w:color="auto" w:fill="auto"/>
            <w:vAlign w:val="center"/>
            <w:hideMark/>
          </w:tcPr>
          <w:p w14:paraId="55954FE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10.2</w:t>
            </w:r>
          </w:p>
        </w:tc>
        <w:tc>
          <w:tcPr>
            <w:tcW w:w="960" w:type="dxa"/>
            <w:tcBorders>
              <w:top w:val="nil"/>
              <w:left w:val="nil"/>
              <w:bottom w:val="single" w:sz="8" w:space="0" w:color="auto"/>
              <w:right w:val="single" w:sz="8" w:space="0" w:color="auto"/>
            </w:tcBorders>
            <w:shd w:val="clear" w:color="auto" w:fill="auto"/>
            <w:vAlign w:val="center"/>
            <w:hideMark/>
          </w:tcPr>
          <w:p w14:paraId="5C27FE9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10.2</w:t>
            </w:r>
          </w:p>
        </w:tc>
        <w:tc>
          <w:tcPr>
            <w:tcW w:w="960" w:type="dxa"/>
            <w:tcBorders>
              <w:top w:val="nil"/>
              <w:left w:val="nil"/>
              <w:bottom w:val="single" w:sz="8" w:space="0" w:color="auto"/>
              <w:right w:val="single" w:sz="8" w:space="0" w:color="auto"/>
            </w:tcBorders>
            <w:shd w:val="clear" w:color="auto" w:fill="auto"/>
            <w:vAlign w:val="center"/>
            <w:hideMark/>
          </w:tcPr>
          <w:p w14:paraId="055E588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r>
      <w:tr w:rsidR="009173C5" w:rsidRPr="009173C5" w14:paraId="34FFF6B7"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DF84E9B"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reference sensitivity level</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9EC953B"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c>
          <w:tcPr>
            <w:tcW w:w="960" w:type="dxa"/>
            <w:tcBorders>
              <w:top w:val="nil"/>
              <w:left w:val="nil"/>
              <w:bottom w:val="single" w:sz="8" w:space="0" w:color="auto"/>
              <w:right w:val="single" w:sz="8" w:space="0" w:color="auto"/>
            </w:tcBorders>
            <w:shd w:val="clear" w:color="auto" w:fill="auto"/>
            <w:vAlign w:val="center"/>
            <w:hideMark/>
          </w:tcPr>
          <w:p w14:paraId="4425DB4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10.3</w:t>
            </w:r>
          </w:p>
        </w:tc>
        <w:tc>
          <w:tcPr>
            <w:tcW w:w="960" w:type="dxa"/>
            <w:tcBorders>
              <w:top w:val="nil"/>
              <w:left w:val="nil"/>
              <w:bottom w:val="single" w:sz="8" w:space="0" w:color="auto"/>
              <w:right w:val="single" w:sz="8" w:space="0" w:color="auto"/>
            </w:tcBorders>
            <w:shd w:val="clear" w:color="auto" w:fill="auto"/>
            <w:vAlign w:val="center"/>
            <w:hideMark/>
          </w:tcPr>
          <w:p w14:paraId="7B59899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10.3</w:t>
            </w:r>
          </w:p>
        </w:tc>
      </w:tr>
      <w:tr w:rsidR="009173C5" w:rsidRPr="009173C5" w14:paraId="2BE7ED4A"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5AA89F5F"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dynamic range</w:t>
            </w:r>
          </w:p>
        </w:tc>
        <w:tc>
          <w:tcPr>
            <w:tcW w:w="1060" w:type="dxa"/>
            <w:vMerge/>
            <w:tcBorders>
              <w:top w:val="nil"/>
              <w:left w:val="single" w:sz="8" w:space="0" w:color="auto"/>
              <w:bottom w:val="single" w:sz="8" w:space="0" w:color="000000"/>
              <w:right w:val="single" w:sz="8" w:space="0" w:color="auto"/>
            </w:tcBorders>
            <w:vAlign w:val="center"/>
            <w:hideMark/>
          </w:tcPr>
          <w:p w14:paraId="11F6F80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4A94CE79"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10.4</w:t>
            </w:r>
          </w:p>
        </w:tc>
        <w:tc>
          <w:tcPr>
            <w:tcW w:w="960" w:type="dxa"/>
            <w:tcBorders>
              <w:top w:val="nil"/>
              <w:left w:val="nil"/>
              <w:bottom w:val="single" w:sz="8" w:space="0" w:color="auto"/>
              <w:right w:val="single" w:sz="8" w:space="0" w:color="auto"/>
            </w:tcBorders>
            <w:shd w:val="clear" w:color="auto" w:fill="auto"/>
            <w:vAlign w:val="center"/>
            <w:hideMark/>
          </w:tcPr>
          <w:p w14:paraId="49C1D3D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NA</w:t>
            </w:r>
          </w:p>
        </w:tc>
      </w:tr>
      <w:tr w:rsidR="009173C5" w:rsidRPr="009173C5" w14:paraId="52A8F33A"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B870D17"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OTA in-band selectivity and blocking</w:t>
            </w:r>
          </w:p>
        </w:tc>
        <w:tc>
          <w:tcPr>
            <w:tcW w:w="1060" w:type="dxa"/>
            <w:vMerge/>
            <w:tcBorders>
              <w:top w:val="nil"/>
              <w:left w:val="single" w:sz="8" w:space="0" w:color="auto"/>
              <w:bottom w:val="single" w:sz="8" w:space="0" w:color="000000"/>
              <w:right w:val="single" w:sz="8" w:space="0" w:color="auto"/>
            </w:tcBorders>
            <w:vAlign w:val="center"/>
            <w:hideMark/>
          </w:tcPr>
          <w:p w14:paraId="070E2A10"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eastAsia="fi-FI"/>
              </w:rPr>
            </w:pPr>
          </w:p>
        </w:tc>
        <w:tc>
          <w:tcPr>
            <w:tcW w:w="960" w:type="dxa"/>
            <w:tcBorders>
              <w:top w:val="nil"/>
              <w:left w:val="nil"/>
              <w:bottom w:val="single" w:sz="8" w:space="0" w:color="auto"/>
              <w:right w:val="single" w:sz="8" w:space="0" w:color="auto"/>
            </w:tcBorders>
            <w:shd w:val="clear" w:color="auto" w:fill="auto"/>
            <w:vAlign w:val="center"/>
            <w:hideMark/>
          </w:tcPr>
          <w:p w14:paraId="45706148"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10.5</w:t>
            </w:r>
          </w:p>
        </w:tc>
        <w:tc>
          <w:tcPr>
            <w:tcW w:w="960" w:type="dxa"/>
            <w:tcBorders>
              <w:top w:val="nil"/>
              <w:left w:val="nil"/>
              <w:bottom w:val="single" w:sz="8" w:space="0" w:color="auto"/>
              <w:right w:val="single" w:sz="8" w:space="0" w:color="auto"/>
            </w:tcBorders>
            <w:shd w:val="clear" w:color="auto" w:fill="auto"/>
            <w:vAlign w:val="center"/>
            <w:hideMark/>
          </w:tcPr>
          <w:p w14:paraId="0350ED36"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10.5</w:t>
            </w:r>
          </w:p>
        </w:tc>
      </w:tr>
      <w:tr w:rsidR="009173C5" w:rsidRPr="009173C5" w14:paraId="20BDB893"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3687E445"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eastAsia="fi-FI"/>
              </w:rPr>
            </w:pPr>
            <w:r w:rsidRPr="009173C5">
              <w:rPr>
                <w:rFonts w:ascii="Arial" w:hAnsi="Arial" w:cs="Arial"/>
                <w:color w:val="000000"/>
                <w:sz w:val="16"/>
                <w:szCs w:val="18"/>
                <w:lang w:eastAsia="ja-JP"/>
              </w:rPr>
              <w:t>OTA out-of-band blocking</w:t>
            </w:r>
          </w:p>
        </w:tc>
        <w:tc>
          <w:tcPr>
            <w:tcW w:w="1060" w:type="dxa"/>
            <w:vMerge/>
            <w:tcBorders>
              <w:top w:val="nil"/>
              <w:left w:val="single" w:sz="8" w:space="0" w:color="auto"/>
              <w:bottom w:val="single" w:sz="8" w:space="0" w:color="000000"/>
              <w:right w:val="single" w:sz="8" w:space="0" w:color="auto"/>
            </w:tcBorders>
            <w:vAlign w:val="center"/>
            <w:hideMark/>
          </w:tcPr>
          <w:p w14:paraId="164D00A3"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eastAsia="fi-FI"/>
              </w:rPr>
            </w:pPr>
          </w:p>
        </w:tc>
        <w:tc>
          <w:tcPr>
            <w:tcW w:w="960" w:type="dxa"/>
            <w:tcBorders>
              <w:top w:val="nil"/>
              <w:left w:val="nil"/>
              <w:bottom w:val="single" w:sz="8" w:space="0" w:color="auto"/>
              <w:right w:val="single" w:sz="8" w:space="0" w:color="auto"/>
            </w:tcBorders>
            <w:shd w:val="clear" w:color="auto" w:fill="auto"/>
            <w:vAlign w:val="center"/>
            <w:hideMark/>
          </w:tcPr>
          <w:p w14:paraId="231E3154"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10.6</w:t>
            </w:r>
          </w:p>
        </w:tc>
        <w:tc>
          <w:tcPr>
            <w:tcW w:w="960" w:type="dxa"/>
            <w:tcBorders>
              <w:top w:val="nil"/>
              <w:left w:val="nil"/>
              <w:bottom w:val="single" w:sz="8" w:space="0" w:color="auto"/>
              <w:right w:val="single" w:sz="8" w:space="0" w:color="auto"/>
            </w:tcBorders>
            <w:shd w:val="clear" w:color="auto" w:fill="auto"/>
            <w:vAlign w:val="center"/>
            <w:hideMark/>
          </w:tcPr>
          <w:p w14:paraId="58571B4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10.6</w:t>
            </w:r>
          </w:p>
        </w:tc>
      </w:tr>
      <w:tr w:rsidR="009173C5" w:rsidRPr="009173C5" w14:paraId="50976FEE"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295EB413"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 xml:space="preserve">OTA receiver spurious emission </w:t>
            </w:r>
          </w:p>
        </w:tc>
        <w:tc>
          <w:tcPr>
            <w:tcW w:w="1060" w:type="dxa"/>
            <w:vMerge/>
            <w:tcBorders>
              <w:top w:val="nil"/>
              <w:left w:val="single" w:sz="8" w:space="0" w:color="auto"/>
              <w:bottom w:val="single" w:sz="8" w:space="0" w:color="000000"/>
              <w:right w:val="single" w:sz="8" w:space="0" w:color="auto"/>
            </w:tcBorders>
            <w:vAlign w:val="center"/>
            <w:hideMark/>
          </w:tcPr>
          <w:p w14:paraId="312EFA1F"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723E3A18"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10.7</w:t>
            </w:r>
          </w:p>
        </w:tc>
        <w:tc>
          <w:tcPr>
            <w:tcW w:w="960" w:type="dxa"/>
            <w:tcBorders>
              <w:top w:val="nil"/>
              <w:left w:val="nil"/>
              <w:bottom w:val="single" w:sz="8" w:space="0" w:color="auto"/>
              <w:right w:val="single" w:sz="8" w:space="0" w:color="auto"/>
            </w:tcBorders>
            <w:shd w:val="clear" w:color="auto" w:fill="auto"/>
            <w:vAlign w:val="center"/>
            <w:hideMark/>
          </w:tcPr>
          <w:p w14:paraId="5847ABD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10.7</w:t>
            </w:r>
          </w:p>
        </w:tc>
      </w:tr>
      <w:tr w:rsidR="009173C5" w:rsidRPr="009173C5" w14:paraId="6FADBE0D"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5CADD2BA"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receiver intermodulation</w:t>
            </w:r>
          </w:p>
        </w:tc>
        <w:tc>
          <w:tcPr>
            <w:tcW w:w="1060" w:type="dxa"/>
            <w:vMerge/>
            <w:tcBorders>
              <w:top w:val="nil"/>
              <w:left w:val="single" w:sz="8" w:space="0" w:color="auto"/>
              <w:bottom w:val="single" w:sz="8" w:space="0" w:color="000000"/>
              <w:right w:val="single" w:sz="8" w:space="0" w:color="auto"/>
            </w:tcBorders>
            <w:vAlign w:val="center"/>
            <w:hideMark/>
          </w:tcPr>
          <w:p w14:paraId="137A1E89"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4EF23600"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10.8</w:t>
            </w:r>
          </w:p>
        </w:tc>
        <w:tc>
          <w:tcPr>
            <w:tcW w:w="960" w:type="dxa"/>
            <w:tcBorders>
              <w:top w:val="nil"/>
              <w:left w:val="nil"/>
              <w:bottom w:val="single" w:sz="8" w:space="0" w:color="auto"/>
              <w:right w:val="single" w:sz="8" w:space="0" w:color="auto"/>
            </w:tcBorders>
            <w:shd w:val="clear" w:color="auto" w:fill="auto"/>
            <w:vAlign w:val="center"/>
            <w:hideMark/>
          </w:tcPr>
          <w:p w14:paraId="3D0E7BB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10.8</w:t>
            </w:r>
          </w:p>
        </w:tc>
      </w:tr>
      <w:tr w:rsidR="009173C5" w:rsidRPr="009173C5" w14:paraId="6C182E5D" w14:textId="77777777" w:rsidTr="009173C5">
        <w:trPr>
          <w:trHeight w:val="315"/>
          <w:jc w:val="center"/>
        </w:trPr>
        <w:tc>
          <w:tcPr>
            <w:tcW w:w="3880" w:type="dxa"/>
            <w:tcBorders>
              <w:top w:val="nil"/>
              <w:left w:val="single" w:sz="8" w:space="0" w:color="auto"/>
              <w:bottom w:val="single" w:sz="8" w:space="0" w:color="auto"/>
              <w:right w:val="single" w:sz="8" w:space="0" w:color="auto"/>
            </w:tcBorders>
            <w:shd w:val="clear" w:color="auto" w:fill="auto"/>
            <w:vAlign w:val="center"/>
            <w:hideMark/>
          </w:tcPr>
          <w:p w14:paraId="7760E1FE"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OTA in-channel selectivity</w:t>
            </w:r>
          </w:p>
        </w:tc>
        <w:tc>
          <w:tcPr>
            <w:tcW w:w="1060" w:type="dxa"/>
            <w:vMerge/>
            <w:tcBorders>
              <w:top w:val="nil"/>
              <w:left w:val="single" w:sz="8" w:space="0" w:color="auto"/>
              <w:bottom w:val="single" w:sz="8" w:space="0" w:color="000000"/>
              <w:right w:val="single" w:sz="8" w:space="0" w:color="auto"/>
            </w:tcBorders>
            <w:vAlign w:val="center"/>
            <w:hideMark/>
          </w:tcPr>
          <w:p w14:paraId="5ACAD56B" w14:textId="77777777" w:rsidR="009173C5" w:rsidRPr="009173C5" w:rsidRDefault="009173C5" w:rsidP="009173C5">
            <w:pPr>
              <w:overflowPunct/>
              <w:autoSpaceDE/>
              <w:autoSpaceDN/>
              <w:adjustRightInd/>
              <w:spacing w:after="0"/>
              <w:textAlignment w:val="auto"/>
              <w:rPr>
                <w:rFonts w:ascii="Arial" w:hAnsi="Arial" w:cs="Arial"/>
                <w:color w:val="000000"/>
                <w:sz w:val="16"/>
                <w:szCs w:val="18"/>
                <w:lang w:val="fi-FI" w:eastAsia="fi-FI"/>
              </w:rPr>
            </w:pPr>
          </w:p>
        </w:tc>
        <w:tc>
          <w:tcPr>
            <w:tcW w:w="960" w:type="dxa"/>
            <w:tcBorders>
              <w:top w:val="nil"/>
              <w:left w:val="nil"/>
              <w:bottom w:val="single" w:sz="8" w:space="0" w:color="auto"/>
              <w:right w:val="single" w:sz="8" w:space="0" w:color="auto"/>
            </w:tcBorders>
            <w:shd w:val="clear" w:color="auto" w:fill="auto"/>
            <w:vAlign w:val="center"/>
            <w:hideMark/>
          </w:tcPr>
          <w:p w14:paraId="326A455C"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10.9</w:t>
            </w:r>
          </w:p>
        </w:tc>
        <w:tc>
          <w:tcPr>
            <w:tcW w:w="960" w:type="dxa"/>
            <w:tcBorders>
              <w:top w:val="nil"/>
              <w:left w:val="nil"/>
              <w:bottom w:val="single" w:sz="8" w:space="0" w:color="auto"/>
              <w:right w:val="single" w:sz="8" w:space="0" w:color="auto"/>
            </w:tcBorders>
            <w:shd w:val="clear" w:color="auto" w:fill="auto"/>
            <w:vAlign w:val="center"/>
            <w:hideMark/>
          </w:tcPr>
          <w:p w14:paraId="31F3ABF2" w14:textId="77777777" w:rsidR="009173C5" w:rsidRPr="009173C5" w:rsidRDefault="009173C5" w:rsidP="009173C5">
            <w:pPr>
              <w:overflowPunct/>
              <w:autoSpaceDE/>
              <w:autoSpaceDN/>
              <w:adjustRightInd/>
              <w:spacing w:after="0"/>
              <w:jc w:val="center"/>
              <w:textAlignment w:val="auto"/>
              <w:rPr>
                <w:rFonts w:ascii="Arial" w:hAnsi="Arial" w:cs="Arial"/>
                <w:color w:val="000000"/>
                <w:sz w:val="16"/>
                <w:szCs w:val="18"/>
                <w:lang w:val="fi-FI" w:eastAsia="fi-FI"/>
              </w:rPr>
            </w:pPr>
            <w:r w:rsidRPr="009173C5">
              <w:rPr>
                <w:rFonts w:ascii="Arial" w:hAnsi="Arial" w:cs="Arial"/>
                <w:color w:val="000000"/>
                <w:sz w:val="16"/>
                <w:szCs w:val="18"/>
                <w:lang w:eastAsia="ja-JP"/>
              </w:rPr>
              <w:t>10.9</w:t>
            </w:r>
          </w:p>
        </w:tc>
      </w:tr>
    </w:tbl>
    <w:p w14:paraId="31806955" w14:textId="74D2988A" w:rsidR="009173C5" w:rsidRDefault="009173C5" w:rsidP="00D56480"/>
    <w:p w14:paraId="4E32E07D" w14:textId="1544AB72" w:rsidR="009173C5" w:rsidRPr="00C2125F" w:rsidRDefault="009173C5" w:rsidP="00C2125F">
      <w:pPr>
        <w:jc w:val="center"/>
        <w:rPr>
          <w:b/>
        </w:rPr>
      </w:pPr>
      <w:r w:rsidRPr="00C2125F">
        <w:rPr>
          <w:b/>
        </w:rPr>
        <w:t>Table 2: Requirements from 38.101-1 and 38.101-2, considered to be re-used for IAB-MT</w:t>
      </w:r>
    </w:p>
    <w:tbl>
      <w:tblPr>
        <w:tblW w:w="5840" w:type="dxa"/>
        <w:jc w:val="center"/>
        <w:tblCellMar>
          <w:left w:w="70" w:type="dxa"/>
          <w:right w:w="70" w:type="dxa"/>
        </w:tblCellMar>
        <w:tblLook w:val="04A0" w:firstRow="1" w:lastRow="0" w:firstColumn="1" w:lastColumn="0" w:noHBand="0" w:noVBand="1"/>
      </w:tblPr>
      <w:tblGrid>
        <w:gridCol w:w="2740"/>
        <w:gridCol w:w="1480"/>
        <w:gridCol w:w="1620"/>
      </w:tblGrid>
      <w:tr w:rsidR="00C2125F" w:rsidRPr="00C2125F" w14:paraId="4A4D9F0B" w14:textId="77777777" w:rsidTr="00C2125F">
        <w:trPr>
          <w:trHeight w:val="315"/>
          <w:jc w:val="center"/>
        </w:trPr>
        <w:tc>
          <w:tcPr>
            <w:tcW w:w="58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5E8428B" w14:textId="77777777" w:rsidR="00C2125F" w:rsidRPr="00C2125F" w:rsidRDefault="00C2125F" w:rsidP="00C2125F">
            <w:pPr>
              <w:overflowPunct/>
              <w:autoSpaceDE/>
              <w:autoSpaceDN/>
              <w:adjustRightInd/>
              <w:spacing w:after="0"/>
              <w:jc w:val="center"/>
              <w:textAlignment w:val="auto"/>
              <w:rPr>
                <w:rFonts w:ascii="Calibri" w:hAnsi="Calibri" w:cs="Calibri"/>
                <w:b/>
                <w:bCs/>
                <w:color w:val="000000"/>
                <w:sz w:val="22"/>
                <w:szCs w:val="22"/>
                <w:lang w:val="fi-FI" w:eastAsia="fi-FI"/>
              </w:rPr>
            </w:pPr>
            <w:r w:rsidRPr="00C2125F">
              <w:rPr>
                <w:rFonts w:ascii="Calibri" w:hAnsi="Calibri" w:cs="Calibri"/>
                <w:b/>
                <w:bCs/>
                <w:color w:val="000000"/>
                <w:sz w:val="22"/>
                <w:szCs w:val="22"/>
                <w:lang w:val="fi-FI" w:eastAsia="fi-FI"/>
              </w:rPr>
              <w:t>UE specification</w:t>
            </w:r>
          </w:p>
        </w:tc>
      </w:tr>
      <w:tr w:rsidR="00C2125F" w:rsidRPr="00C2125F" w14:paraId="184D0528"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1EDB4CF4" w14:textId="77777777" w:rsidR="00C2125F" w:rsidRPr="00C2125F" w:rsidRDefault="00C2125F" w:rsidP="00C2125F">
            <w:pPr>
              <w:overflowPunct/>
              <w:autoSpaceDE/>
              <w:autoSpaceDN/>
              <w:adjustRightInd/>
              <w:spacing w:after="0"/>
              <w:textAlignment w:val="auto"/>
              <w:rPr>
                <w:rFonts w:ascii="Arial" w:hAnsi="Arial" w:cs="Arial"/>
                <w:b/>
                <w:bCs/>
                <w:color w:val="000000"/>
                <w:sz w:val="18"/>
                <w:szCs w:val="18"/>
                <w:lang w:val="fi-FI" w:eastAsia="fi-FI"/>
              </w:rPr>
            </w:pPr>
            <w:r w:rsidRPr="00C2125F">
              <w:rPr>
                <w:rFonts w:ascii="Arial" w:hAnsi="Arial" w:cs="Arial"/>
                <w:b/>
                <w:bCs/>
                <w:color w:val="000000"/>
                <w:sz w:val="18"/>
                <w:szCs w:val="18"/>
                <w:lang w:eastAsia="ja-JP"/>
              </w:rPr>
              <w:t>Requirement</w:t>
            </w:r>
          </w:p>
        </w:tc>
        <w:tc>
          <w:tcPr>
            <w:tcW w:w="1480" w:type="dxa"/>
            <w:tcBorders>
              <w:top w:val="nil"/>
              <w:left w:val="nil"/>
              <w:bottom w:val="single" w:sz="8" w:space="0" w:color="auto"/>
              <w:right w:val="single" w:sz="8" w:space="0" w:color="auto"/>
            </w:tcBorders>
            <w:shd w:val="clear" w:color="auto" w:fill="auto"/>
            <w:vAlign w:val="center"/>
            <w:hideMark/>
          </w:tcPr>
          <w:p w14:paraId="5E23EBF4" w14:textId="77777777" w:rsidR="00C2125F" w:rsidRPr="00C2125F" w:rsidRDefault="00C2125F" w:rsidP="00C2125F">
            <w:pPr>
              <w:overflowPunct/>
              <w:autoSpaceDE/>
              <w:autoSpaceDN/>
              <w:adjustRightInd/>
              <w:spacing w:after="0"/>
              <w:jc w:val="center"/>
              <w:textAlignment w:val="auto"/>
              <w:rPr>
                <w:rFonts w:ascii="Arial" w:hAnsi="Arial" w:cs="Arial"/>
                <w:b/>
                <w:bCs/>
                <w:i/>
                <w:iCs/>
                <w:color w:val="000000"/>
                <w:sz w:val="18"/>
                <w:szCs w:val="18"/>
                <w:lang w:val="fi-FI" w:eastAsia="fi-FI"/>
              </w:rPr>
            </w:pPr>
            <w:r w:rsidRPr="00C2125F">
              <w:rPr>
                <w:rFonts w:ascii="Arial" w:hAnsi="Arial" w:cs="Arial"/>
                <w:b/>
                <w:bCs/>
                <w:i/>
                <w:iCs/>
                <w:color w:val="000000"/>
                <w:sz w:val="18"/>
                <w:szCs w:val="18"/>
                <w:lang w:eastAsia="ja-JP"/>
              </w:rPr>
              <w:t>FR1 (38.101-1)</w:t>
            </w:r>
          </w:p>
        </w:tc>
        <w:tc>
          <w:tcPr>
            <w:tcW w:w="1620" w:type="dxa"/>
            <w:tcBorders>
              <w:top w:val="nil"/>
              <w:left w:val="nil"/>
              <w:bottom w:val="single" w:sz="8" w:space="0" w:color="auto"/>
              <w:right w:val="single" w:sz="8" w:space="0" w:color="auto"/>
            </w:tcBorders>
            <w:shd w:val="clear" w:color="auto" w:fill="auto"/>
            <w:vAlign w:val="center"/>
            <w:hideMark/>
          </w:tcPr>
          <w:p w14:paraId="231FDC24" w14:textId="77777777" w:rsidR="00C2125F" w:rsidRPr="00C2125F" w:rsidRDefault="00C2125F" w:rsidP="00C2125F">
            <w:pPr>
              <w:overflowPunct/>
              <w:autoSpaceDE/>
              <w:autoSpaceDN/>
              <w:adjustRightInd/>
              <w:spacing w:after="0"/>
              <w:jc w:val="center"/>
              <w:textAlignment w:val="auto"/>
              <w:rPr>
                <w:rFonts w:ascii="Arial" w:hAnsi="Arial" w:cs="Arial"/>
                <w:b/>
                <w:bCs/>
                <w:i/>
                <w:iCs/>
                <w:color w:val="000000"/>
                <w:sz w:val="18"/>
                <w:szCs w:val="18"/>
                <w:lang w:val="fi-FI" w:eastAsia="fi-FI"/>
              </w:rPr>
            </w:pPr>
            <w:r w:rsidRPr="00C2125F">
              <w:rPr>
                <w:rFonts w:ascii="Arial" w:hAnsi="Arial" w:cs="Arial"/>
                <w:b/>
                <w:bCs/>
                <w:i/>
                <w:iCs/>
                <w:color w:val="000000"/>
                <w:sz w:val="18"/>
                <w:szCs w:val="18"/>
                <w:lang w:eastAsia="ja-JP"/>
              </w:rPr>
              <w:t>FR2 (38.101-2)</w:t>
            </w:r>
          </w:p>
        </w:tc>
      </w:tr>
      <w:tr w:rsidR="00C2125F" w:rsidRPr="00C2125F" w14:paraId="51D0E394" w14:textId="77777777" w:rsidTr="00C2125F">
        <w:trPr>
          <w:trHeight w:val="49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5DCB8C39"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Transmitter power</w:t>
            </w:r>
          </w:p>
        </w:tc>
        <w:tc>
          <w:tcPr>
            <w:tcW w:w="1480" w:type="dxa"/>
            <w:tcBorders>
              <w:top w:val="nil"/>
              <w:left w:val="nil"/>
              <w:bottom w:val="single" w:sz="8" w:space="0" w:color="auto"/>
              <w:right w:val="single" w:sz="8" w:space="0" w:color="auto"/>
            </w:tcBorders>
            <w:shd w:val="clear" w:color="auto" w:fill="auto"/>
            <w:noWrap/>
            <w:vAlign w:val="bottom"/>
            <w:hideMark/>
          </w:tcPr>
          <w:p w14:paraId="64CF457D"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6.2</w:t>
            </w:r>
          </w:p>
        </w:tc>
        <w:tc>
          <w:tcPr>
            <w:tcW w:w="1620" w:type="dxa"/>
            <w:tcBorders>
              <w:top w:val="nil"/>
              <w:left w:val="nil"/>
              <w:bottom w:val="single" w:sz="8" w:space="0" w:color="auto"/>
              <w:right w:val="single" w:sz="8" w:space="0" w:color="auto"/>
            </w:tcBorders>
            <w:shd w:val="clear" w:color="auto" w:fill="auto"/>
            <w:noWrap/>
            <w:vAlign w:val="bottom"/>
            <w:hideMark/>
          </w:tcPr>
          <w:p w14:paraId="7EA9C3FE"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6.2</w:t>
            </w:r>
          </w:p>
        </w:tc>
      </w:tr>
      <w:tr w:rsidR="00C2125F" w:rsidRPr="00C2125F" w14:paraId="3FE3F064"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55B78BCB"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Output power dynamics</w:t>
            </w:r>
          </w:p>
        </w:tc>
        <w:tc>
          <w:tcPr>
            <w:tcW w:w="1480" w:type="dxa"/>
            <w:tcBorders>
              <w:top w:val="nil"/>
              <w:left w:val="nil"/>
              <w:bottom w:val="single" w:sz="8" w:space="0" w:color="auto"/>
              <w:right w:val="single" w:sz="8" w:space="0" w:color="auto"/>
            </w:tcBorders>
            <w:shd w:val="clear" w:color="auto" w:fill="auto"/>
            <w:noWrap/>
            <w:vAlign w:val="bottom"/>
            <w:hideMark/>
          </w:tcPr>
          <w:p w14:paraId="7D7ABB37"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6.3</w:t>
            </w:r>
          </w:p>
        </w:tc>
        <w:tc>
          <w:tcPr>
            <w:tcW w:w="1620" w:type="dxa"/>
            <w:tcBorders>
              <w:top w:val="nil"/>
              <w:left w:val="nil"/>
              <w:bottom w:val="single" w:sz="8" w:space="0" w:color="auto"/>
              <w:right w:val="single" w:sz="8" w:space="0" w:color="auto"/>
            </w:tcBorders>
            <w:shd w:val="clear" w:color="auto" w:fill="auto"/>
            <w:noWrap/>
            <w:vAlign w:val="bottom"/>
            <w:hideMark/>
          </w:tcPr>
          <w:p w14:paraId="686D3054"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6.3</w:t>
            </w:r>
          </w:p>
        </w:tc>
      </w:tr>
      <w:tr w:rsidR="00C2125F" w:rsidRPr="00C2125F" w14:paraId="43F71EF5"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2689F90E"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Transmit signal quality</w:t>
            </w:r>
          </w:p>
        </w:tc>
        <w:tc>
          <w:tcPr>
            <w:tcW w:w="1480" w:type="dxa"/>
            <w:tcBorders>
              <w:top w:val="nil"/>
              <w:left w:val="nil"/>
              <w:bottom w:val="single" w:sz="8" w:space="0" w:color="auto"/>
              <w:right w:val="single" w:sz="8" w:space="0" w:color="auto"/>
            </w:tcBorders>
            <w:shd w:val="clear" w:color="auto" w:fill="auto"/>
            <w:noWrap/>
            <w:vAlign w:val="bottom"/>
            <w:hideMark/>
          </w:tcPr>
          <w:p w14:paraId="162467EE"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6.4</w:t>
            </w:r>
          </w:p>
        </w:tc>
        <w:tc>
          <w:tcPr>
            <w:tcW w:w="1620" w:type="dxa"/>
            <w:tcBorders>
              <w:top w:val="nil"/>
              <w:left w:val="nil"/>
              <w:bottom w:val="single" w:sz="8" w:space="0" w:color="auto"/>
              <w:right w:val="single" w:sz="8" w:space="0" w:color="auto"/>
            </w:tcBorders>
            <w:shd w:val="clear" w:color="auto" w:fill="auto"/>
            <w:noWrap/>
            <w:vAlign w:val="bottom"/>
            <w:hideMark/>
          </w:tcPr>
          <w:p w14:paraId="0DB3C0C6"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6.4</w:t>
            </w:r>
          </w:p>
        </w:tc>
      </w:tr>
      <w:tr w:rsidR="00C2125F" w:rsidRPr="00C2125F" w14:paraId="43F59E43"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7A6B6B3A"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 xml:space="preserve">RF emissions </w:t>
            </w:r>
          </w:p>
        </w:tc>
        <w:tc>
          <w:tcPr>
            <w:tcW w:w="1480" w:type="dxa"/>
            <w:tcBorders>
              <w:top w:val="nil"/>
              <w:left w:val="nil"/>
              <w:bottom w:val="single" w:sz="8" w:space="0" w:color="auto"/>
              <w:right w:val="single" w:sz="8" w:space="0" w:color="auto"/>
            </w:tcBorders>
            <w:shd w:val="clear" w:color="auto" w:fill="auto"/>
            <w:noWrap/>
            <w:vAlign w:val="bottom"/>
            <w:hideMark/>
          </w:tcPr>
          <w:p w14:paraId="05FD8231"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6.5</w:t>
            </w:r>
          </w:p>
        </w:tc>
        <w:tc>
          <w:tcPr>
            <w:tcW w:w="1620" w:type="dxa"/>
            <w:tcBorders>
              <w:top w:val="nil"/>
              <w:left w:val="nil"/>
              <w:bottom w:val="single" w:sz="8" w:space="0" w:color="auto"/>
              <w:right w:val="single" w:sz="8" w:space="0" w:color="auto"/>
            </w:tcBorders>
            <w:shd w:val="clear" w:color="auto" w:fill="auto"/>
            <w:noWrap/>
            <w:vAlign w:val="bottom"/>
            <w:hideMark/>
          </w:tcPr>
          <w:p w14:paraId="6978377D"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6.5</w:t>
            </w:r>
          </w:p>
        </w:tc>
      </w:tr>
      <w:tr w:rsidR="00C2125F" w:rsidRPr="00C2125F" w14:paraId="685624F3"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40C540BD"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Beam correspondence</w:t>
            </w:r>
          </w:p>
        </w:tc>
        <w:tc>
          <w:tcPr>
            <w:tcW w:w="1480" w:type="dxa"/>
            <w:tcBorders>
              <w:top w:val="nil"/>
              <w:left w:val="nil"/>
              <w:bottom w:val="single" w:sz="8" w:space="0" w:color="auto"/>
              <w:right w:val="single" w:sz="8" w:space="0" w:color="auto"/>
            </w:tcBorders>
            <w:shd w:val="clear" w:color="auto" w:fill="auto"/>
            <w:noWrap/>
            <w:vAlign w:val="bottom"/>
            <w:hideMark/>
          </w:tcPr>
          <w:p w14:paraId="6A5168AD"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N/A</w:t>
            </w:r>
          </w:p>
        </w:tc>
        <w:tc>
          <w:tcPr>
            <w:tcW w:w="1620" w:type="dxa"/>
            <w:tcBorders>
              <w:top w:val="nil"/>
              <w:left w:val="nil"/>
              <w:bottom w:val="single" w:sz="8" w:space="0" w:color="auto"/>
              <w:right w:val="single" w:sz="8" w:space="0" w:color="auto"/>
            </w:tcBorders>
            <w:shd w:val="clear" w:color="auto" w:fill="auto"/>
            <w:noWrap/>
            <w:vAlign w:val="bottom"/>
            <w:hideMark/>
          </w:tcPr>
          <w:p w14:paraId="5029A2C4"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highlight w:val="red"/>
                <w:lang w:val="fi-FI" w:eastAsia="fi-FI"/>
              </w:rPr>
              <w:t>6.6</w:t>
            </w:r>
          </w:p>
        </w:tc>
      </w:tr>
      <w:tr w:rsidR="00C2125F" w:rsidRPr="00C2125F" w14:paraId="0F4C58DF"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4BD45FC2"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Reference sensitivity</w:t>
            </w:r>
          </w:p>
        </w:tc>
        <w:tc>
          <w:tcPr>
            <w:tcW w:w="1480" w:type="dxa"/>
            <w:tcBorders>
              <w:top w:val="nil"/>
              <w:left w:val="nil"/>
              <w:bottom w:val="single" w:sz="8" w:space="0" w:color="auto"/>
              <w:right w:val="single" w:sz="8" w:space="0" w:color="auto"/>
            </w:tcBorders>
            <w:shd w:val="clear" w:color="auto" w:fill="auto"/>
            <w:noWrap/>
            <w:vAlign w:val="bottom"/>
            <w:hideMark/>
          </w:tcPr>
          <w:p w14:paraId="2D6A7B61"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7.3</w:t>
            </w:r>
          </w:p>
        </w:tc>
        <w:tc>
          <w:tcPr>
            <w:tcW w:w="1620" w:type="dxa"/>
            <w:tcBorders>
              <w:top w:val="nil"/>
              <w:left w:val="nil"/>
              <w:bottom w:val="single" w:sz="8" w:space="0" w:color="auto"/>
              <w:right w:val="single" w:sz="8" w:space="0" w:color="auto"/>
            </w:tcBorders>
            <w:shd w:val="clear" w:color="auto" w:fill="auto"/>
            <w:noWrap/>
            <w:vAlign w:val="bottom"/>
            <w:hideMark/>
          </w:tcPr>
          <w:p w14:paraId="690C1346"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7.3</w:t>
            </w:r>
          </w:p>
        </w:tc>
      </w:tr>
      <w:tr w:rsidR="00C2125F" w:rsidRPr="00C2125F" w14:paraId="5ECB9006"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7EFA20D3"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Maximum input level</w:t>
            </w:r>
          </w:p>
        </w:tc>
        <w:tc>
          <w:tcPr>
            <w:tcW w:w="1480" w:type="dxa"/>
            <w:tcBorders>
              <w:top w:val="nil"/>
              <w:left w:val="nil"/>
              <w:bottom w:val="single" w:sz="8" w:space="0" w:color="auto"/>
              <w:right w:val="single" w:sz="8" w:space="0" w:color="auto"/>
            </w:tcBorders>
            <w:shd w:val="clear" w:color="auto" w:fill="auto"/>
            <w:noWrap/>
            <w:vAlign w:val="bottom"/>
            <w:hideMark/>
          </w:tcPr>
          <w:p w14:paraId="5CCA393C"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7.4</w:t>
            </w:r>
          </w:p>
        </w:tc>
        <w:tc>
          <w:tcPr>
            <w:tcW w:w="1620" w:type="dxa"/>
            <w:tcBorders>
              <w:top w:val="nil"/>
              <w:left w:val="nil"/>
              <w:bottom w:val="single" w:sz="8" w:space="0" w:color="auto"/>
              <w:right w:val="single" w:sz="8" w:space="0" w:color="auto"/>
            </w:tcBorders>
            <w:shd w:val="clear" w:color="auto" w:fill="auto"/>
            <w:noWrap/>
            <w:vAlign w:val="bottom"/>
            <w:hideMark/>
          </w:tcPr>
          <w:p w14:paraId="550292EE"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7.4</w:t>
            </w:r>
          </w:p>
        </w:tc>
      </w:tr>
      <w:tr w:rsidR="00C2125F" w:rsidRPr="00C2125F" w14:paraId="2B57D00D"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42610EAC"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Adjacent channel selectivity</w:t>
            </w:r>
          </w:p>
        </w:tc>
        <w:tc>
          <w:tcPr>
            <w:tcW w:w="1480" w:type="dxa"/>
            <w:tcBorders>
              <w:top w:val="nil"/>
              <w:left w:val="nil"/>
              <w:bottom w:val="single" w:sz="8" w:space="0" w:color="auto"/>
              <w:right w:val="single" w:sz="8" w:space="0" w:color="auto"/>
            </w:tcBorders>
            <w:shd w:val="clear" w:color="auto" w:fill="auto"/>
            <w:noWrap/>
            <w:vAlign w:val="bottom"/>
            <w:hideMark/>
          </w:tcPr>
          <w:p w14:paraId="207CA3D2"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7.5</w:t>
            </w:r>
          </w:p>
        </w:tc>
        <w:tc>
          <w:tcPr>
            <w:tcW w:w="1620" w:type="dxa"/>
            <w:tcBorders>
              <w:top w:val="nil"/>
              <w:left w:val="nil"/>
              <w:bottom w:val="single" w:sz="8" w:space="0" w:color="auto"/>
              <w:right w:val="single" w:sz="8" w:space="0" w:color="auto"/>
            </w:tcBorders>
            <w:shd w:val="clear" w:color="auto" w:fill="auto"/>
            <w:noWrap/>
            <w:vAlign w:val="bottom"/>
            <w:hideMark/>
          </w:tcPr>
          <w:p w14:paraId="68A55FC4"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sz w:val="22"/>
                <w:szCs w:val="22"/>
                <w:highlight w:val="red"/>
                <w:lang w:val="fi-FI" w:eastAsia="fi-FI"/>
              </w:rPr>
              <w:t>7.5</w:t>
            </w:r>
          </w:p>
        </w:tc>
      </w:tr>
      <w:tr w:rsidR="00C2125F" w:rsidRPr="00C2125F" w14:paraId="483DE033"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62D54123"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Blocking characteristics</w:t>
            </w:r>
          </w:p>
        </w:tc>
        <w:tc>
          <w:tcPr>
            <w:tcW w:w="1480" w:type="dxa"/>
            <w:tcBorders>
              <w:top w:val="nil"/>
              <w:left w:val="nil"/>
              <w:bottom w:val="nil"/>
              <w:right w:val="nil"/>
            </w:tcBorders>
            <w:shd w:val="clear" w:color="auto" w:fill="auto"/>
            <w:noWrap/>
            <w:vAlign w:val="bottom"/>
            <w:hideMark/>
          </w:tcPr>
          <w:p w14:paraId="2A30C152"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7.6</w:t>
            </w:r>
          </w:p>
        </w:tc>
        <w:tc>
          <w:tcPr>
            <w:tcW w:w="1620" w:type="dxa"/>
            <w:tcBorders>
              <w:top w:val="nil"/>
              <w:left w:val="single" w:sz="8" w:space="0" w:color="auto"/>
              <w:bottom w:val="single" w:sz="8" w:space="0" w:color="auto"/>
              <w:right w:val="single" w:sz="8" w:space="0" w:color="auto"/>
            </w:tcBorders>
            <w:shd w:val="clear" w:color="auto" w:fill="auto"/>
            <w:noWrap/>
            <w:vAlign w:val="bottom"/>
            <w:hideMark/>
          </w:tcPr>
          <w:p w14:paraId="2B7525F5"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7.6</w:t>
            </w:r>
          </w:p>
        </w:tc>
      </w:tr>
      <w:tr w:rsidR="00C2125F" w:rsidRPr="00C2125F" w14:paraId="5497FB5D"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08CEE736"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Spurious response</w:t>
            </w:r>
          </w:p>
        </w:tc>
        <w:tc>
          <w:tcPr>
            <w:tcW w:w="1480" w:type="dxa"/>
            <w:tcBorders>
              <w:top w:val="single" w:sz="8" w:space="0" w:color="auto"/>
              <w:left w:val="nil"/>
              <w:bottom w:val="single" w:sz="8" w:space="0" w:color="auto"/>
              <w:right w:val="single" w:sz="8" w:space="0" w:color="auto"/>
            </w:tcBorders>
            <w:shd w:val="clear" w:color="auto" w:fill="auto"/>
            <w:noWrap/>
            <w:vAlign w:val="bottom"/>
            <w:hideMark/>
          </w:tcPr>
          <w:p w14:paraId="0488BE90"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7.7</w:t>
            </w:r>
          </w:p>
        </w:tc>
        <w:tc>
          <w:tcPr>
            <w:tcW w:w="1620" w:type="dxa"/>
            <w:tcBorders>
              <w:top w:val="nil"/>
              <w:left w:val="nil"/>
              <w:bottom w:val="single" w:sz="8" w:space="0" w:color="auto"/>
              <w:right w:val="single" w:sz="8" w:space="0" w:color="auto"/>
            </w:tcBorders>
            <w:shd w:val="clear" w:color="auto" w:fill="auto"/>
            <w:noWrap/>
            <w:vAlign w:val="bottom"/>
            <w:hideMark/>
          </w:tcPr>
          <w:p w14:paraId="0D0359C8"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N/A</w:t>
            </w:r>
          </w:p>
        </w:tc>
      </w:tr>
      <w:tr w:rsidR="00C2125F" w:rsidRPr="00C2125F" w14:paraId="3FC1220B"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6592F0FB"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Intermodulation characteristics</w:t>
            </w:r>
          </w:p>
        </w:tc>
        <w:tc>
          <w:tcPr>
            <w:tcW w:w="1480" w:type="dxa"/>
            <w:tcBorders>
              <w:top w:val="nil"/>
              <w:left w:val="nil"/>
              <w:bottom w:val="single" w:sz="8" w:space="0" w:color="auto"/>
              <w:right w:val="single" w:sz="8" w:space="0" w:color="auto"/>
            </w:tcBorders>
            <w:shd w:val="clear" w:color="auto" w:fill="auto"/>
            <w:noWrap/>
            <w:vAlign w:val="bottom"/>
            <w:hideMark/>
          </w:tcPr>
          <w:p w14:paraId="5133B0FD"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7.8</w:t>
            </w:r>
          </w:p>
        </w:tc>
        <w:tc>
          <w:tcPr>
            <w:tcW w:w="1620" w:type="dxa"/>
            <w:tcBorders>
              <w:top w:val="nil"/>
              <w:left w:val="nil"/>
              <w:bottom w:val="single" w:sz="8" w:space="0" w:color="auto"/>
              <w:right w:val="single" w:sz="8" w:space="0" w:color="auto"/>
            </w:tcBorders>
            <w:shd w:val="clear" w:color="auto" w:fill="auto"/>
            <w:noWrap/>
            <w:vAlign w:val="bottom"/>
            <w:hideMark/>
          </w:tcPr>
          <w:p w14:paraId="4719B1A7"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lang w:val="fi-FI" w:eastAsia="fi-FI"/>
              </w:rPr>
            </w:pPr>
            <w:r w:rsidRPr="00C2125F">
              <w:rPr>
                <w:rFonts w:ascii="Calibri" w:hAnsi="Calibri" w:cs="Calibri"/>
                <w:color w:val="000000"/>
                <w:sz w:val="22"/>
                <w:szCs w:val="22"/>
                <w:lang w:val="fi-FI" w:eastAsia="fi-FI"/>
              </w:rPr>
              <w:t>N/A</w:t>
            </w:r>
          </w:p>
        </w:tc>
      </w:tr>
      <w:tr w:rsidR="00C2125F" w:rsidRPr="00C2125F" w14:paraId="11790C61" w14:textId="77777777" w:rsidTr="00C2125F">
        <w:trPr>
          <w:trHeight w:val="31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14:paraId="6F43D9AF" w14:textId="77777777" w:rsidR="00C2125F" w:rsidRPr="00C2125F" w:rsidRDefault="00C2125F" w:rsidP="00C2125F">
            <w:pPr>
              <w:overflowPunct/>
              <w:autoSpaceDE/>
              <w:autoSpaceDN/>
              <w:adjustRightInd/>
              <w:spacing w:after="0"/>
              <w:jc w:val="center"/>
              <w:textAlignment w:val="auto"/>
              <w:rPr>
                <w:rFonts w:ascii="Arial" w:hAnsi="Arial" w:cs="Arial"/>
                <w:color w:val="000000"/>
                <w:sz w:val="18"/>
                <w:szCs w:val="18"/>
                <w:lang w:val="fi-FI" w:eastAsia="fi-FI"/>
              </w:rPr>
            </w:pPr>
            <w:r w:rsidRPr="00C2125F">
              <w:rPr>
                <w:rFonts w:ascii="Arial" w:hAnsi="Arial" w:cs="Arial"/>
                <w:color w:val="000000"/>
                <w:sz w:val="18"/>
                <w:szCs w:val="18"/>
                <w:lang w:val="fi-FI" w:eastAsia="fi-FI"/>
              </w:rPr>
              <w:t>Spurious emissions</w:t>
            </w:r>
          </w:p>
        </w:tc>
        <w:tc>
          <w:tcPr>
            <w:tcW w:w="1480" w:type="dxa"/>
            <w:tcBorders>
              <w:top w:val="nil"/>
              <w:left w:val="nil"/>
              <w:bottom w:val="single" w:sz="8" w:space="0" w:color="auto"/>
              <w:right w:val="single" w:sz="8" w:space="0" w:color="auto"/>
            </w:tcBorders>
            <w:shd w:val="clear" w:color="auto" w:fill="auto"/>
            <w:noWrap/>
            <w:vAlign w:val="bottom"/>
            <w:hideMark/>
          </w:tcPr>
          <w:p w14:paraId="1902F8AD"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7.9</w:t>
            </w:r>
          </w:p>
        </w:tc>
        <w:tc>
          <w:tcPr>
            <w:tcW w:w="1620" w:type="dxa"/>
            <w:tcBorders>
              <w:top w:val="nil"/>
              <w:left w:val="nil"/>
              <w:bottom w:val="single" w:sz="8" w:space="0" w:color="auto"/>
              <w:right w:val="single" w:sz="8" w:space="0" w:color="auto"/>
            </w:tcBorders>
            <w:shd w:val="clear" w:color="auto" w:fill="auto"/>
            <w:noWrap/>
            <w:vAlign w:val="bottom"/>
            <w:hideMark/>
          </w:tcPr>
          <w:p w14:paraId="220AC01E" w14:textId="77777777" w:rsidR="00C2125F" w:rsidRPr="00C2125F" w:rsidRDefault="00C2125F" w:rsidP="00C2125F">
            <w:pPr>
              <w:overflowPunct/>
              <w:autoSpaceDE/>
              <w:autoSpaceDN/>
              <w:adjustRightInd/>
              <w:spacing w:after="0"/>
              <w:jc w:val="center"/>
              <w:textAlignment w:val="auto"/>
              <w:rPr>
                <w:rFonts w:ascii="Calibri" w:hAnsi="Calibri" w:cs="Calibri"/>
                <w:color w:val="000000"/>
                <w:sz w:val="22"/>
                <w:szCs w:val="22"/>
                <w:highlight w:val="red"/>
                <w:lang w:val="fi-FI" w:eastAsia="fi-FI"/>
              </w:rPr>
            </w:pPr>
            <w:r w:rsidRPr="00C2125F">
              <w:rPr>
                <w:rFonts w:ascii="Calibri" w:hAnsi="Calibri" w:cs="Calibri"/>
                <w:color w:val="000000"/>
                <w:sz w:val="22"/>
                <w:szCs w:val="22"/>
                <w:highlight w:val="red"/>
                <w:lang w:val="fi-FI" w:eastAsia="fi-FI"/>
              </w:rPr>
              <w:t>7.9</w:t>
            </w:r>
          </w:p>
        </w:tc>
      </w:tr>
    </w:tbl>
    <w:p w14:paraId="3E9180CC" w14:textId="7A728A40" w:rsidR="009173C5" w:rsidRDefault="009173C5" w:rsidP="00D56480"/>
    <w:p w14:paraId="172EA78C" w14:textId="5BDF9B99" w:rsidR="0046257A" w:rsidRDefault="0046257A" w:rsidP="00D56480">
      <w:r>
        <w:t>To summarize, it seems that requirements from 38.104 can be directly re-used for IAB-DU, but most requirements in 38.101-1 and 2 need some re-work.</w:t>
      </w:r>
      <w:r w:rsidR="006E5782">
        <w:t xml:space="preserve"> In transmitter side</w:t>
      </w:r>
      <w:r>
        <w:t xml:space="preserve"> </w:t>
      </w:r>
      <w:r w:rsidR="006E5782">
        <w:t xml:space="preserve">transmitter power levels are different for IAB-MT and regular UE, and concepts like MPR or spherical coverage are not expected to be needed for IAB-MT. Output power dynamics includes power control, where the range and accuracy requirements may change, if they are defined. </w:t>
      </w:r>
      <w:r w:rsidR="004F51A4">
        <w:t xml:space="preserve">Transmit signal quality requirement is tied to output power which needs clarification. It is also unclear whether a separate requirement for carrier leakage is required. Spectrum flatness specification at least for pi/2 BPSK is unlikely to be needed. </w:t>
      </w:r>
      <w:r w:rsidR="006E5782">
        <w:t xml:space="preserve">RF emissions are dependent on output power levels and co-existence stud outcome. Beam correspondence is defined via spherical coverage, which likely is not needed, and it is unclear if requirement for beam correspondence is needed at all for IAB-MT. </w:t>
      </w:r>
    </w:p>
    <w:p w14:paraId="4D3EBCA8" w14:textId="547F9154" w:rsidR="006E5782" w:rsidRPr="00226D92" w:rsidRDefault="006E5782" w:rsidP="00D56480">
      <w:r>
        <w:t>In receiver side sensitivity requirements change as also FR1 may need radiated requirements, and naturally the levels change if an antenna array is used. Maximum input level and all selectivity/blocking requirements need to be checked based on the date from co-existence st</w:t>
      </w:r>
      <w:r w:rsidR="008E270C">
        <w:t>u</w:t>
      </w:r>
      <w:r>
        <w:t>dy. Spurious emissions for IAB-MT might be adapted to align with IAB-DU requirement.</w:t>
      </w:r>
    </w:p>
    <w:p w14:paraId="5156E8A6" w14:textId="4E20D025" w:rsidR="006B1350" w:rsidRPr="00F01C83" w:rsidRDefault="000C5DA3" w:rsidP="00D56480">
      <w:pPr>
        <w:rPr>
          <w:b/>
        </w:rPr>
      </w:pPr>
      <w:r>
        <w:rPr>
          <w:b/>
        </w:rPr>
        <w:t xml:space="preserve">Proposal 4: Requirement-by-requirement analysis is done </w:t>
      </w:r>
      <w:r w:rsidR="00DA1D15">
        <w:rPr>
          <w:b/>
        </w:rPr>
        <w:t>on which requirements can be directly re-used for IAB-DU and IAB-MT from existing base station and UE requirements.</w:t>
      </w:r>
    </w:p>
    <w:p w14:paraId="52782008" w14:textId="77777777" w:rsidR="00F32200" w:rsidRDefault="00F32200" w:rsidP="00F32200">
      <w:pPr>
        <w:pStyle w:val="Heading1"/>
      </w:pPr>
      <w:r>
        <w:t>3</w:t>
      </w:r>
      <w:r>
        <w:tab/>
        <w:t>Conclusion</w:t>
      </w:r>
    </w:p>
    <w:p w14:paraId="12AE3D79" w14:textId="4EAC96C5" w:rsidR="00DD43B9" w:rsidRDefault="00E46CA7" w:rsidP="005348D8">
      <w:r>
        <w:t>I</w:t>
      </w:r>
      <w:r w:rsidR="00A521CA">
        <w:t xml:space="preserve">n this contribution </w:t>
      </w:r>
      <w:r w:rsidR="00DA1D15">
        <w:t xml:space="preserve">basis for IAB-Node specifications and </w:t>
      </w:r>
      <w:r w:rsidR="00A521CA">
        <w:t xml:space="preserve">specification structure </w:t>
      </w:r>
      <w:r w:rsidR="00DA1D15">
        <w:t>was discussed and following proposals were made.</w:t>
      </w:r>
    </w:p>
    <w:p w14:paraId="479F2002" w14:textId="4EAFD693" w:rsidR="00DA1D15" w:rsidRDefault="00DA1D15" w:rsidP="00DA1D15">
      <w:pPr>
        <w:rPr>
          <w:b/>
        </w:rPr>
      </w:pPr>
      <w:r>
        <w:rPr>
          <w:b/>
        </w:rPr>
        <w:lastRenderedPageBreak/>
        <w:t>Proposal</w:t>
      </w:r>
      <w:r w:rsidRPr="00F01C83">
        <w:rPr>
          <w:b/>
        </w:rPr>
        <w:t xml:space="preserve"> 1:</w:t>
      </w:r>
      <w:r>
        <w:rPr>
          <w:b/>
        </w:rPr>
        <w:t xml:space="preserve"> Requirements shall be categorized using IAB-DU and IAB-MT functions, when needed.</w:t>
      </w:r>
    </w:p>
    <w:p w14:paraId="6962861B" w14:textId="77777777" w:rsidR="00DA1D15" w:rsidRDefault="00DA1D15" w:rsidP="00DA1D15">
      <w:pPr>
        <w:spacing w:after="0"/>
        <w:contextualSpacing/>
        <w:rPr>
          <w:b/>
        </w:rPr>
      </w:pPr>
      <w:r w:rsidRPr="00E71458">
        <w:rPr>
          <w:b/>
        </w:rPr>
        <w:t>Proposal 2:</w:t>
      </w:r>
      <w:r>
        <w:rPr>
          <w:b/>
        </w:rPr>
        <w:t xml:space="preserve"> Requirements shall be based on correct signal types:</w:t>
      </w:r>
    </w:p>
    <w:p w14:paraId="03BF9959" w14:textId="77777777" w:rsidR="00DA1D15" w:rsidRDefault="00DA1D15" w:rsidP="00DA1D15">
      <w:pPr>
        <w:pStyle w:val="ListParagraph"/>
        <w:numPr>
          <w:ilvl w:val="0"/>
          <w:numId w:val="14"/>
        </w:numPr>
        <w:spacing w:after="0"/>
        <w:rPr>
          <w:b/>
        </w:rPr>
      </w:pPr>
      <w:r w:rsidRPr="00E71458">
        <w:rPr>
          <w:b/>
        </w:rPr>
        <w:t>UL signals for IAB-MT Tx</w:t>
      </w:r>
      <w:r>
        <w:rPr>
          <w:b/>
        </w:rPr>
        <w:t xml:space="preserve"> and IAB-DU Rx</w:t>
      </w:r>
      <w:r w:rsidRPr="00E71458">
        <w:rPr>
          <w:b/>
        </w:rPr>
        <w:t xml:space="preserve"> </w:t>
      </w:r>
    </w:p>
    <w:p w14:paraId="686A8F25" w14:textId="77777777" w:rsidR="00DA1D15" w:rsidRDefault="00DA1D15" w:rsidP="00DA1D15">
      <w:pPr>
        <w:pStyle w:val="ListParagraph"/>
        <w:numPr>
          <w:ilvl w:val="0"/>
          <w:numId w:val="14"/>
        </w:numPr>
        <w:spacing w:before="180" w:after="0"/>
        <w:rPr>
          <w:b/>
        </w:rPr>
      </w:pPr>
      <w:r>
        <w:rPr>
          <w:b/>
        </w:rPr>
        <w:t xml:space="preserve">DL signals for </w:t>
      </w:r>
      <w:r w:rsidRPr="00E71458">
        <w:rPr>
          <w:b/>
        </w:rPr>
        <w:t xml:space="preserve">IAB-MT </w:t>
      </w:r>
      <w:r>
        <w:rPr>
          <w:b/>
        </w:rPr>
        <w:t>R</w:t>
      </w:r>
      <w:r w:rsidRPr="00E71458">
        <w:rPr>
          <w:b/>
        </w:rPr>
        <w:t xml:space="preserve">x </w:t>
      </w:r>
      <w:r>
        <w:rPr>
          <w:b/>
        </w:rPr>
        <w:t xml:space="preserve">and IAB-DU Tx </w:t>
      </w:r>
    </w:p>
    <w:p w14:paraId="4AC7ADC7" w14:textId="78DEDA2D" w:rsidR="00DA1D15" w:rsidRDefault="00DA1D15" w:rsidP="00DA1D15">
      <w:pPr>
        <w:rPr>
          <w:b/>
        </w:rPr>
      </w:pPr>
      <w:r>
        <w:rPr>
          <w:b/>
        </w:rPr>
        <w:t>Details of these shall be left to conformance testing phase</w:t>
      </w:r>
    </w:p>
    <w:p w14:paraId="372EB843" w14:textId="6F1CA0E7" w:rsidR="00DA1D15" w:rsidRDefault="00DA1D15" w:rsidP="00DA1D15">
      <w:pPr>
        <w:rPr>
          <w:b/>
        </w:rPr>
      </w:pPr>
      <w:r>
        <w:rPr>
          <w:b/>
        </w:rPr>
        <w:t>Proposal 3: Structure the requirements in the specification starting with general section for common aspects for IAB-MT and IAB-DU. No specific sections are needed in case the requirement is the same for IAB-MT and IAB-DU.</w:t>
      </w:r>
    </w:p>
    <w:p w14:paraId="165FAA80" w14:textId="77777777" w:rsidR="00DA1D15" w:rsidRDefault="00DA1D15" w:rsidP="00DA1D15">
      <w:pPr>
        <w:rPr>
          <w:b/>
        </w:rPr>
      </w:pPr>
      <w:r>
        <w:rPr>
          <w:b/>
        </w:rPr>
        <w:t>Proposal 4: Requirement-by-requirement analysis is done on which requirements can be directly re-used for IAB-DU and IAB-MT from existing base station and UE requirements.</w:t>
      </w:r>
    </w:p>
    <w:p w14:paraId="55B204E9" w14:textId="77777777" w:rsidR="0057669F" w:rsidRDefault="0057669F" w:rsidP="0057669F">
      <w:pPr>
        <w:pStyle w:val="Heading1"/>
      </w:pPr>
      <w:r>
        <w:t>4</w:t>
      </w:r>
      <w:r>
        <w:tab/>
        <w:t>Reference</w:t>
      </w:r>
      <w:r w:rsidR="0035582C">
        <w:t>s</w:t>
      </w:r>
    </w:p>
    <w:p w14:paraId="43EA2530" w14:textId="2A910387" w:rsidR="006C16B3" w:rsidRPr="00C14230" w:rsidRDefault="00A33499" w:rsidP="006C16B3">
      <w:pPr>
        <w:ind w:left="567" w:hanging="567"/>
      </w:pPr>
      <w:r>
        <w:t xml:space="preserve">[1] </w:t>
      </w:r>
      <w:r>
        <w:tab/>
      </w:r>
      <w:r w:rsidR="001210A5">
        <w:t>R4-1910589 IAB Ad Hoc meeting minutes</w:t>
      </w:r>
      <w:r>
        <w:t>, Qualcomm Incorporated</w:t>
      </w:r>
    </w:p>
    <w:p w14:paraId="3FF00238" w14:textId="0DEE1AE8" w:rsidR="006750A5" w:rsidRPr="00C14230" w:rsidRDefault="006750A5" w:rsidP="000450CB">
      <w:pPr>
        <w:ind w:left="567" w:hanging="567"/>
      </w:pPr>
    </w:p>
    <w:sectPr w:rsidR="006750A5" w:rsidRPr="00C14230"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AC3F9" w14:textId="77777777" w:rsidR="00C0346D" w:rsidRDefault="00C0346D" w:rsidP="002B3503">
      <w:pPr>
        <w:spacing w:after="0"/>
      </w:pPr>
      <w:r>
        <w:separator/>
      </w:r>
    </w:p>
  </w:endnote>
  <w:endnote w:type="continuationSeparator" w:id="0">
    <w:p w14:paraId="4584A802" w14:textId="77777777" w:rsidR="00C0346D" w:rsidRDefault="00C0346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F8FCE" w14:textId="77777777" w:rsidR="00C0346D" w:rsidRDefault="00C0346D" w:rsidP="002B3503">
      <w:pPr>
        <w:spacing w:after="0"/>
      </w:pPr>
      <w:r>
        <w:separator/>
      </w:r>
    </w:p>
  </w:footnote>
  <w:footnote w:type="continuationSeparator" w:id="0">
    <w:p w14:paraId="4F56E7D0" w14:textId="77777777" w:rsidR="00C0346D" w:rsidRDefault="00C0346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7197B2B"/>
    <w:multiLevelType w:val="hybridMultilevel"/>
    <w:tmpl w:val="1A826016"/>
    <w:lvl w:ilvl="0" w:tplc="61C0959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7697849"/>
    <w:multiLevelType w:val="hybridMultilevel"/>
    <w:tmpl w:val="CE9CB0A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2"/>
  </w:num>
  <w:num w:numId="3">
    <w:abstractNumId w:val="5"/>
  </w:num>
  <w:num w:numId="4">
    <w:abstractNumId w:val="9"/>
  </w:num>
  <w:num w:numId="5">
    <w:abstractNumId w:val="10"/>
  </w:num>
  <w:num w:numId="6">
    <w:abstractNumId w:val="11"/>
  </w:num>
  <w:num w:numId="7">
    <w:abstractNumId w:val="4"/>
  </w:num>
  <w:num w:numId="8">
    <w:abstractNumId w:val="2"/>
  </w:num>
  <w:num w:numId="9">
    <w:abstractNumId w:val="0"/>
  </w:num>
  <w:num w:numId="10">
    <w:abstractNumId w:val="8"/>
  </w:num>
  <w:num w:numId="11">
    <w:abstractNumId w:val="13"/>
  </w:num>
  <w:num w:numId="12">
    <w:abstractNumId w:val="1"/>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35ACA"/>
    <w:rsid w:val="000450CB"/>
    <w:rsid w:val="00046F81"/>
    <w:rsid w:val="00051A7D"/>
    <w:rsid w:val="000832DA"/>
    <w:rsid w:val="00091F0B"/>
    <w:rsid w:val="000943A9"/>
    <w:rsid w:val="000A4525"/>
    <w:rsid w:val="000A4A61"/>
    <w:rsid w:val="000A5C0F"/>
    <w:rsid w:val="000A6473"/>
    <w:rsid w:val="000A7F46"/>
    <w:rsid w:val="000B4E56"/>
    <w:rsid w:val="000B5E8E"/>
    <w:rsid w:val="000C07E1"/>
    <w:rsid w:val="000C3D3D"/>
    <w:rsid w:val="000C5DA3"/>
    <w:rsid w:val="000D0627"/>
    <w:rsid w:val="000D5C67"/>
    <w:rsid w:val="000D6C3A"/>
    <w:rsid w:val="000E41E5"/>
    <w:rsid w:val="000F2546"/>
    <w:rsid w:val="00101626"/>
    <w:rsid w:val="00101848"/>
    <w:rsid w:val="00113312"/>
    <w:rsid w:val="001210A5"/>
    <w:rsid w:val="00122D8C"/>
    <w:rsid w:val="001364A1"/>
    <w:rsid w:val="0015000E"/>
    <w:rsid w:val="0016131F"/>
    <w:rsid w:val="00164A53"/>
    <w:rsid w:val="00165FD9"/>
    <w:rsid w:val="0018022D"/>
    <w:rsid w:val="001B180D"/>
    <w:rsid w:val="001B3B3F"/>
    <w:rsid w:val="001B494A"/>
    <w:rsid w:val="001C1F8F"/>
    <w:rsid w:val="001C3296"/>
    <w:rsid w:val="001D418B"/>
    <w:rsid w:val="001D4627"/>
    <w:rsid w:val="00210C9E"/>
    <w:rsid w:val="002127E2"/>
    <w:rsid w:val="00213D17"/>
    <w:rsid w:val="00214C87"/>
    <w:rsid w:val="00215035"/>
    <w:rsid w:val="00226D92"/>
    <w:rsid w:val="00230B20"/>
    <w:rsid w:val="00237779"/>
    <w:rsid w:val="00237803"/>
    <w:rsid w:val="002521F4"/>
    <w:rsid w:val="002640C9"/>
    <w:rsid w:val="00277EE7"/>
    <w:rsid w:val="00285189"/>
    <w:rsid w:val="00285EBA"/>
    <w:rsid w:val="00291DDD"/>
    <w:rsid w:val="002A7181"/>
    <w:rsid w:val="002B3503"/>
    <w:rsid w:val="002B3F6F"/>
    <w:rsid w:val="002C1641"/>
    <w:rsid w:val="002C1C70"/>
    <w:rsid w:val="002D2721"/>
    <w:rsid w:val="002E0E8E"/>
    <w:rsid w:val="002F0018"/>
    <w:rsid w:val="002F139F"/>
    <w:rsid w:val="002F6A38"/>
    <w:rsid w:val="003174F7"/>
    <w:rsid w:val="00321E9D"/>
    <w:rsid w:val="00331CE4"/>
    <w:rsid w:val="00347DEA"/>
    <w:rsid w:val="00351332"/>
    <w:rsid w:val="0035582C"/>
    <w:rsid w:val="003613B8"/>
    <w:rsid w:val="00363074"/>
    <w:rsid w:val="00371259"/>
    <w:rsid w:val="003777FE"/>
    <w:rsid w:val="003841C3"/>
    <w:rsid w:val="003879A9"/>
    <w:rsid w:val="003A1BF2"/>
    <w:rsid w:val="003C3016"/>
    <w:rsid w:val="003D3111"/>
    <w:rsid w:val="003D5813"/>
    <w:rsid w:val="003E36C3"/>
    <w:rsid w:val="003F0CBC"/>
    <w:rsid w:val="003F1982"/>
    <w:rsid w:val="004035FC"/>
    <w:rsid w:val="004036F8"/>
    <w:rsid w:val="00404C40"/>
    <w:rsid w:val="00412C77"/>
    <w:rsid w:val="0042109F"/>
    <w:rsid w:val="00427F57"/>
    <w:rsid w:val="0043450E"/>
    <w:rsid w:val="004370C8"/>
    <w:rsid w:val="00453BA5"/>
    <w:rsid w:val="00454E53"/>
    <w:rsid w:val="0046257A"/>
    <w:rsid w:val="004754A1"/>
    <w:rsid w:val="00482477"/>
    <w:rsid w:val="00482BAF"/>
    <w:rsid w:val="00484762"/>
    <w:rsid w:val="00491386"/>
    <w:rsid w:val="00494F18"/>
    <w:rsid w:val="00496D0E"/>
    <w:rsid w:val="004A41DA"/>
    <w:rsid w:val="004A47DD"/>
    <w:rsid w:val="004C0103"/>
    <w:rsid w:val="004C4473"/>
    <w:rsid w:val="004C58F9"/>
    <w:rsid w:val="004D0C67"/>
    <w:rsid w:val="004D3D81"/>
    <w:rsid w:val="004D4354"/>
    <w:rsid w:val="004F51A4"/>
    <w:rsid w:val="005001B2"/>
    <w:rsid w:val="00507108"/>
    <w:rsid w:val="00512C65"/>
    <w:rsid w:val="00527349"/>
    <w:rsid w:val="005304C6"/>
    <w:rsid w:val="005348D8"/>
    <w:rsid w:val="005357BB"/>
    <w:rsid w:val="00541E71"/>
    <w:rsid w:val="00542EA4"/>
    <w:rsid w:val="00544363"/>
    <w:rsid w:val="00544A0E"/>
    <w:rsid w:val="005472C5"/>
    <w:rsid w:val="00551BD8"/>
    <w:rsid w:val="00560A63"/>
    <w:rsid w:val="00564B2E"/>
    <w:rsid w:val="00570007"/>
    <w:rsid w:val="00570B14"/>
    <w:rsid w:val="0057669F"/>
    <w:rsid w:val="005A3D67"/>
    <w:rsid w:val="005B2640"/>
    <w:rsid w:val="005C3C47"/>
    <w:rsid w:val="005D0FDB"/>
    <w:rsid w:val="005D7B06"/>
    <w:rsid w:val="005E49A2"/>
    <w:rsid w:val="005F1F1C"/>
    <w:rsid w:val="005F6CE3"/>
    <w:rsid w:val="00602EB6"/>
    <w:rsid w:val="0060382B"/>
    <w:rsid w:val="006168C2"/>
    <w:rsid w:val="00630341"/>
    <w:rsid w:val="00640C2B"/>
    <w:rsid w:val="00641C2E"/>
    <w:rsid w:val="00654B03"/>
    <w:rsid w:val="00663E30"/>
    <w:rsid w:val="00666120"/>
    <w:rsid w:val="00673969"/>
    <w:rsid w:val="006750A5"/>
    <w:rsid w:val="00692D32"/>
    <w:rsid w:val="006A21E1"/>
    <w:rsid w:val="006A6876"/>
    <w:rsid w:val="006B1350"/>
    <w:rsid w:val="006B720B"/>
    <w:rsid w:val="006C16B3"/>
    <w:rsid w:val="006C6840"/>
    <w:rsid w:val="006C7482"/>
    <w:rsid w:val="006D0E2D"/>
    <w:rsid w:val="006E3462"/>
    <w:rsid w:val="006E578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D4520"/>
    <w:rsid w:val="007E79BE"/>
    <w:rsid w:val="008236E4"/>
    <w:rsid w:val="0083345D"/>
    <w:rsid w:val="0084176E"/>
    <w:rsid w:val="00845E2E"/>
    <w:rsid w:val="00850296"/>
    <w:rsid w:val="00853EC3"/>
    <w:rsid w:val="00870635"/>
    <w:rsid w:val="00874DB0"/>
    <w:rsid w:val="008771F4"/>
    <w:rsid w:val="008922F9"/>
    <w:rsid w:val="0089736D"/>
    <w:rsid w:val="008A4493"/>
    <w:rsid w:val="008B5F74"/>
    <w:rsid w:val="008D39F0"/>
    <w:rsid w:val="008D6E47"/>
    <w:rsid w:val="008E270C"/>
    <w:rsid w:val="008F311C"/>
    <w:rsid w:val="008F463D"/>
    <w:rsid w:val="009050E8"/>
    <w:rsid w:val="00906259"/>
    <w:rsid w:val="0091383D"/>
    <w:rsid w:val="009173C5"/>
    <w:rsid w:val="00932D74"/>
    <w:rsid w:val="009351C4"/>
    <w:rsid w:val="00937974"/>
    <w:rsid w:val="00940559"/>
    <w:rsid w:val="00943634"/>
    <w:rsid w:val="0096038C"/>
    <w:rsid w:val="009622D5"/>
    <w:rsid w:val="009674D4"/>
    <w:rsid w:val="00977A17"/>
    <w:rsid w:val="00982464"/>
    <w:rsid w:val="00996062"/>
    <w:rsid w:val="009A3979"/>
    <w:rsid w:val="009A6A8B"/>
    <w:rsid w:val="009A70AA"/>
    <w:rsid w:val="009B1E68"/>
    <w:rsid w:val="009B7379"/>
    <w:rsid w:val="009E3B23"/>
    <w:rsid w:val="00A04721"/>
    <w:rsid w:val="00A067D5"/>
    <w:rsid w:val="00A10A2C"/>
    <w:rsid w:val="00A15FBF"/>
    <w:rsid w:val="00A16034"/>
    <w:rsid w:val="00A33499"/>
    <w:rsid w:val="00A451E8"/>
    <w:rsid w:val="00A466BF"/>
    <w:rsid w:val="00A47C8B"/>
    <w:rsid w:val="00A521CA"/>
    <w:rsid w:val="00A6018C"/>
    <w:rsid w:val="00A64564"/>
    <w:rsid w:val="00A708BD"/>
    <w:rsid w:val="00A769DA"/>
    <w:rsid w:val="00A8390A"/>
    <w:rsid w:val="00A97C2D"/>
    <w:rsid w:val="00AB5402"/>
    <w:rsid w:val="00AD15D4"/>
    <w:rsid w:val="00AD71AD"/>
    <w:rsid w:val="00AE6327"/>
    <w:rsid w:val="00AF14A0"/>
    <w:rsid w:val="00B11963"/>
    <w:rsid w:val="00B1541B"/>
    <w:rsid w:val="00B31BAE"/>
    <w:rsid w:val="00B4385F"/>
    <w:rsid w:val="00B614B4"/>
    <w:rsid w:val="00B638DE"/>
    <w:rsid w:val="00B6504C"/>
    <w:rsid w:val="00B65B59"/>
    <w:rsid w:val="00BA3DB3"/>
    <w:rsid w:val="00BC3919"/>
    <w:rsid w:val="00BC764C"/>
    <w:rsid w:val="00BD0FF7"/>
    <w:rsid w:val="00BD1867"/>
    <w:rsid w:val="00BD5DF4"/>
    <w:rsid w:val="00BE140C"/>
    <w:rsid w:val="00BE5FB6"/>
    <w:rsid w:val="00BF1B24"/>
    <w:rsid w:val="00BF4B17"/>
    <w:rsid w:val="00C0346D"/>
    <w:rsid w:val="00C14230"/>
    <w:rsid w:val="00C2125F"/>
    <w:rsid w:val="00C21554"/>
    <w:rsid w:val="00C24C90"/>
    <w:rsid w:val="00C24D31"/>
    <w:rsid w:val="00C33434"/>
    <w:rsid w:val="00C944DE"/>
    <w:rsid w:val="00CA5455"/>
    <w:rsid w:val="00CB7240"/>
    <w:rsid w:val="00CC3529"/>
    <w:rsid w:val="00CD4FAF"/>
    <w:rsid w:val="00CE1642"/>
    <w:rsid w:val="00CE23AF"/>
    <w:rsid w:val="00CF249F"/>
    <w:rsid w:val="00D26459"/>
    <w:rsid w:val="00D275CC"/>
    <w:rsid w:val="00D355D3"/>
    <w:rsid w:val="00D54EAA"/>
    <w:rsid w:val="00D56480"/>
    <w:rsid w:val="00D5669A"/>
    <w:rsid w:val="00D767C4"/>
    <w:rsid w:val="00D77CF5"/>
    <w:rsid w:val="00D848CC"/>
    <w:rsid w:val="00D86BF8"/>
    <w:rsid w:val="00D903D5"/>
    <w:rsid w:val="00D944B1"/>
    <w:rsid w:val="00D95179"/>
    <w:rsid w:val="00DA1D15"/>
    <w:rsid w:val="00DB3EC2"/>
    <w:rsid w:val="00DB5AD3"/>
    <w:rsid w:val="00DB6FA3"/>
    <w:rsid w:val="00DB78B8"/>
    <w:rsid w:val="00DC1E18"/>
    <w:rsid w:val="00DC2D0A"/>
    <w:rsid w:val="00DC4D84"/>
    <w:rsid w:val="00DC7584"/>
    <w:rsid w:val="00DD43B9"/>
    <w:rsid w:val="00DF018A"/>
    <w:rsid w:val="00DF0C0A"/>
    <w:rsid w:val="00E00F64"/>
    <w:rsid w:val="00E010A0"/>
    <w:rsid w:val="00E075EC"/>
    <w:rsid w:val="00E13DFA"/>
    <w:rsid w:val="00E3148E"/>
    <w:rsid w:val="00E33B68"/>
    <w:rsid w:val="00E46CA7"/>
    <w:rsid w:val="00E55815"/>
    <w:rsid w:val="00E56A42"/>
    <w:rsid w:val="00E71458"/>
    <w:rsid w:val="00E76679"/>
    <w:rsid w:val="00E90BCB"/>
    <w:rsid w:val="00E962C5"/>
    <w:rsid w:val="00EA3488"/>
    <w:rsid w:val="00EB5F7D"/>
    <w:rsid w:val="00EC589F"/>
    <w:rsid w:val="00EF103D"/>
    <w:rsid w:val="00EF6304"/>
    <w:rsid w:val="00F01C83"/>
    <w:rsid w:val="00F03666"/>
    <w:rsid w:val="00F32200"/>
    <w:rsid w:val="00F40326"/>
    <w:rsid w:val="00F40AF9"/>
    <w:rsid w:val="00F45F03"/>
    <w:rsid w:val="00F51367"/>
    <w:rsid w:val="00F65437"/>
    <w:rsid w:val="00F67501"/>
    <w:rsid w:val="00F8280F"/>
    <w:rsid w:val="00F832DE"/>
    <w:rsid w:val="00F95973"/>
    <w:rsid w:val="00F95D75"/>
    <w:rsid w:val="00F96BF4"/>
    <w:rsid w:val="00F974FD"/>
    <w:rsid w:val="00F97D64"/>
    <w:rsid w:val="00FA111D"/>
    <w:rsid w:val="00FA2A7B"/>
    <w:rsid w:val="00FA66CB"/>
    <w:rsid w:val="00FB7D23"/>
    <w:rsid w:val="00FC75E4"/>
    <w:rsid w:val="00FC7CFA"/>
    <w:rsid w:val="00FD085A"/>
    <w:rsid w:val="00FD543C"/>
    <w:rsid w:val="00FF578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3AC59C5E-A003-4CB7-8D86-BAF64893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943998779">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770730761">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49123">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1" ma:contentTypeDescription="Create a new document." ma:contentTypeScope="" ma:versionID="2b9f1f9afffaa8d42eaeeeebbc6b41f4">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4ed6d1021413628b92a644e250c6fc8d"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1930-DC46-4494-A307-F159D05B9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F0E89-70AF-41D5-9931-A7FEA391F3F2}">
  <ds:schemaRefs>
    <ds:schemaRef ds:uri="Microsoft.SharePoint.Taxonomy.ContentTypeSync"/>
  </ds:schemaRefs>
</ds:datastoreItem>
</file>

<file path=customXml/itemProps3.xml><?xml version="1.0" encoding="utf-8"?>
<ds:datastoreItem xmlns:ds="http://schemas.openxmlformats.org/officeDocument/2006/customXml" ds:itemID="{73BCEED3-0125-4A5D-AB34-85875628F82E}">
  <ds:schemaRefs>
    <ds:schemaRef ds:uri="http://schemas.microsoft.com/sharepoint/events"/>
  </ds:schemaRefs>
</ds:datastoreItem>
</file>

<file path=customXml/itemProps4.xml><?xml version="1.0" encoding="utf-8"?>
<ds:datastoreItem xmlns:ds="http://schemas.openxmlformats.org/officeDocument/2006/customXml" ds:itemID="{E4DEBC59-B517-4133-8D3E-B8403E46BCF6}">
  <ds:schemaRefs>
    <ds:schemaRef ds:uri="http://schemas.microsoft.com/sharepoint/v3/contenttype/forms"/>
  </ds:schemaRefs>
</ds:datastoreItem>
</file>

<file path=customXml/itemProps5.xml><?xml version="1.0" encoding="utf-8"?>
<ds:datastoreItem xmlns:ds="http://schemas.openxmlformats.org/officeDocument/2006/customXml" ds:itemID="{D0F76054-4CE6-472A-A7FD-A558866C3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231E28C-0B1F-4690-AE17-99548EBE3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7690</Characters>
  <Application>Microsoft Office Word</Application>
  <DocSecurity>0</DocSecurity>
  <Lines>64</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1900-01-01T05:59:00Z</cp:lastPrinted>
  <dcterms:created xsi:type="dcterms:W3CDTF">2019-10-04T10:34:00Z</dcterms:created>
  <dcterms:modified xsi:type="dcterms:W3CDTF">2019-10-04T10:35:00Z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